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0CD4" w:rsidRPr="00B976C1" w:rsidRDefault="002C0CD4" w:rsidP="002C0CD4">
      <w:pPr>
        <w:rPr>
          <w:rFonts w:asciiTheme="minorHAnsi" w:hAnsiTheme="minorHAnsi"/>
        </w:rPr>
      </w:pPr>
    </w:p>
    <w:p w:rsidR="00061D2F" w:rsidRPr="00061D2F" w:rsidRDefault="00061D2F" w:rsidP="00F4161F">
      <w:pPr>
        <w:jc w:val="center"/>
        <w:rPr>
          <w:rFonts w:asciiTheme="minorHAnsi" w:hAnsiTheme="minorHAnsi" w:cs="Tahoma"/>
          <w:b/>
          <w:bCs/>
          <w:color w:val="003C69"/>
          <w:sz w:val="52"/>
          <w:szCs w:val="52"/>
        </w:rPr>
      </w:pPr>
      <w:r w:rsidRPr="00061D2F">
        <w:rPr>
          <w:rFonts w:asciiTheme="minorHAnsi" w:hAnsiTheme="minorHAnsi" w:cs="Tahoma"/>
          <w:b/>
          <w:bCs/>
          <w:color w:val="003C69"/>
          <w:sz w:val="52"/>
          <w:szCs w:val="52"/>
        </w:rPr>
        <w:t>MEMORANDUM OF UNDERSTANDING</w:t>
      </w:r>
    </w:p>
    <w:p w:rsidR="00F4161F" w:rsidRDefault="00061D2F" w:rsidP="00F4161F">
      <w:pPr>
        <w:jc w:val="center"/>
        <w:rPr>
          <w:rFonts w:asciiTheme="minorHAnsi" w:hAnsiTheme="minorHAnsi" w:cs="Tahoma"/>
          <w:b/>
          <w:bCs/>
          <w:color w:val="003C69"/>
          <w:sz w:val="52"/>
          <w:szCs w:val="52"/>
        </w:rPr>
      </w:pPr>
      <w:r w:rsidRPr="00061D2F">
        <w:rPr>
          <w:rFonts w:asciiTheme="minorHAnsi" w:hAnsiTheme="minorHAnsi" w:cs="Tahoma"/>
          <w:b/>
          <w:bCs/>
          <w:color w:val="003C69"/>
          <w:sz w:val="52"/>
          <w:szCs w:val="52"/>
        </w:rPr>
        <w:t>IN RELATION TO DIGITAL EVIDENCE SHARING</w:t>
      </w:r>
      <w:r>
        <w:rPr>
          <w:rFonts w:asciiTheme="minorHAnsi" w:hAnsiTheme="minorHAnsi" w:cs="Tahoma"/>
          <w:b/>
          <w:bCs/>
          <w:color w:val="003C69"/>
          <w:sz w:val="52"/>
          <w:szCs w:val="52"/>
        </w:rPr>
        <w:t xml:space="preserve"> </w:t>
      </w:r>
      <w:r w:rsidRPr="00061D2F">
        <w:rPr>
          <w:rFonts w:asciiTheme="minorHAnsi" w:hAnsiTheme="minorHAnsi" w:cs="Tahoma"/>
          <w:b/>
          <w:bCs/>
          <w:color w:val="003C69"/>
          <w:sz w:val="52"/>
          <w:szCs w:val="52"/>
        </w:rPr>
        <w:t>BETWEEN</w:t>
      </w:r>
    </w:p>
    <w:p w:rsidR="00F4161F" w:rsidRDefault="00061D2F" w:rsidP="00F4161F">
      <w:pPr>
        <w:jc w:val="center"/>
        <w:rPr>
          <w:rFonts w:asciiTheme="minorHAnsi" w:hAnsiTheme="minorHAnsi" w:cs="Tahoma"/>
          <w:b/>
          <w:bCs/>
          <w:color w:val="003C69"/>
          <w:sz w:val="52"/>
          <w:szCs w:val="52"/>
        </w:rPr>
      </w:pPr>
      <w:r w:rsidRPr="00061D2F">
        <w:rPr>
          <w:rFonts w:asciiTheme="minorHAnsi" w:hAnsiTheme="minorHAnsi" w:cs="Tahoma"/>
          <w:b/>
          <w:bCs/>
          <w:color w:val="003C69"/>
          <w:sz w:val="52"/>
          <w:szCs w:val="52"/>
        </w:rPr>
        <w:t>THE CROWN PROSECUTION SERVICE</w:t>
      </w:r>
    </w:p>
    <w:p w:rsidR="00F4161F" w:rsidRDefault="00061D2F" w:rsidP="00F4161F">
      <w:pPr>
        <w:jc w:val="center"/>
        <w:rPr>
          <w:rFonts w:asciiTheme="minorHAnsi" w:hAnsiTheme="minorHAnsi" w:cs="Tahoma"/>
          <w:b/>
          <w:bCs/>
          <w:color w:val="003C69"/>
          <w:sz w:val="52"/>
          <w:szCs w:val="52"/>
          <w:lang w:val="en-US"/>
        </w:rPr>
      </w:pPr>
      <w:r w:rsidRPr="00061D2F">
        <w:rPr>
          <w:rFonts w:asciiTheme="minorHAnsi" w:hAnsiTheme="minorHAnsi" w:cs="Tahoma"/>
          <w:b/>
          <w:bCs/>
          <w:color w:val="003C69"/>
          <w:sz w:val="52"/>
          <w:szCs w:val="52"/>
          <w:lang w:val="en-US"/>
        </w:rPr>
        <w:t>AND</w:t>
      </w:r>
    </w:p>
    <w:p w:rsidR="00F4161F" w:rsidRPr="00677AA1" w:rsidRDefault="00F4161F" w:rsidP="00F4161F">
      <w:pPr>
        <w:jc w:val="center"/>
        <w:rPr>
          <w:rFonts w:asciiTheme="minorHAnsi" w:hAnsiTheme="minorHAnsi" w:cs="Tahoma"/>
          <w:b/>
          <w:bCs/>
          <w:color w:val="003C69"/>
          <w:sz w:val="52"/>
          <w:szCs w:val="52"/>
          <w:lang w:val="en-US"/>
        </w:rPr>
      </w:pPr>
      <w:r w:rsidRPr="00677AA1">
        <w:rPr>
          <w:rFonts w:asciiTheme="minorHAnsi" w:hAnsiTheme="minorHAnsi" w:cs="Tahoma"/>
          <w:b/>
          <w:bCs/>
          <w:color w:val="003C69"/>
          <w:sz w:val="52"/>
          <w:szCs w:val="52"/>
          <w:lang w:val="en-US"/>
        </w:rPr>
        <w:t>THE NATIONAL POLICE CHIEFS’ COUNCIL (NPCC)</w:t>
      </w:r>
    </w:p>
    <w:p w:rsidR="00A84F1E" w:rsidRPr="00677AA1" w:rsidRDefault="00F4161F" w:rsidP="00F4161F">
      <w:pPr>
        <w:jc w:val="center"/>
        <w:rPr>
          <w:rFonts w:asciiTheme="minorHAnsi" w:hAnsiTheme="minorHAnsi" w:cs="Tahoma"/>
          <w:b/>
          <w:bCs/>
          <w:color w:val="003C69"/>
          <w:sz w:val="52"/>
          <w:szCs w:val="52"/>
          <w:lang w:val="en-US"/>
        </w:rPr>
      </w:pPr>
      <w:r w:rsidRPr="00677AA1">
        <w:rPr>
          <w:rFonts w:asciiTheme="minorHAnsi" w:hAnsiTheme="minorHAnsi" w:cs="Tahoma"/>
          <w:b/>
          <w:bCs/>
          <w:color w:val="003C69"/>
          <w:sz w:val="52"/>
          <w:szCs w:val="52"/>
          <w:lang w:val="en-US"/>
        </w:rPr>
        <w:t xml:space="preserve">ON BEHALF OF EACH OF THE POLICE FORCES </w:t>
      </w:r>
    </w:p>
    <w:p w:rsidR="00061D2F" w:rsidRPr="00061D2F" w:rsidRDefault="00F4161F" w:rsidP="00F4161F">
      <w:pPr>
        <w:jc w:val="center"/>
        <w:rPr>
          <w:rFonts w:asciiTheme="minorHAnsi" w:hAnsiTheme="minorHAnsi" w:cs="Tahoma"/>
          <w:b/>
          <w:bCs/>
          <w:color w:val="003C69"/>
          <w:sz w:val="52"/>
          <w:szCs w:val="52"/>
          <w:lang w:val="en-US"/>
        </w:rPr>
      </w:pPr>
      <w:r w:rsidRPr="00677AA1">
        <w:rPr>
          <w:rFonts w:asciiTheme="minorHAnsi" w:hAnsiTheme="minorHAnsi" w:cs="Tahoma"/>
          <w:b/>
          <w:bCs/>
          <w:color w:val="003C69"/>
          <w:sz w:val="52"/>
          <w:szCs w:val="52"/>
          <w:lang w:val="en-US"/>
        </w:rPr>
        <w:t>LISTED IN ANNEX 4</w:t>
      </w:r>
    </w:p>
    <w:p w:rsidR="002C0CD4" w:rsidRPr="00B976C1" w:rsidRDefault="002C0CD4" w:rsidP="002C0CD4">
      <w:pPr>
        <w:rPr>
          <w:rFonts w:asciiTheme="minorHAnsi" w:hAnsiTheme="minorHAnsi"/>
        </w:rPr>
      </w:pPr>
    </w:p>
    <w:p w:rsidR="002C0CD4" w:rsidRPr="00B976C1" w:rsidRDefault="002C0CD4" w:rsidP="65F74FF8"/>
    <w:p w:rsidR="00137D45" w:rsidRPr="00B976C1" w:rsidRDefault="00137D45" w:rsidP="00B976C1">
      <w:pPr>
        <w:rPr>
          <w:rFonts w:asciiTheme="minorHAnsi" w:hAnsiTheme="minorHAnsi" w:cs="Tahoma"/>
        </w:rPr>
      </w:pPr>
    </w:p>
    <w:p w:rsidR="00137D45" w:rsidRPr="00B976C1" w:rsidRDefault="006161C5" w:rsidP="43CC5020">
      <w:pPr>
        <w:jc w:val="both"/>
        <w:rPr>
          <w:rFonts w:ascii="Calibri" w:eastAsia="Calibri" w:hAnsi="Calibri" w:cs="Calibri"/>
        </w:rPr>
      </w:pPr>
      <w:r>
        <w:rPr>
          <w:rFonts w:asciiTheme="minorHAnsi" w:hAnsiTheme="minorHAnsi" w:cs="Tahoma"/>
        </w:rPr>
        <w:t>This document is classified as OFFICIAL</w:t>
      </w:r>
      <w:r w:rsidR="00137D45" w:rsidRPr="43CC5020">
        <w:rPr>
          <w:rFonts w:asciiTheme="minorHAnsi" w:hAnsiTheme="minorHAnsi" w:cs="Tahoma"/>
        </w:rPr>
        <w:t xml:space="preserve"> </w:t>
      </w:r>
      <w:r>
        <w:rPr>
          <w:rFonts w:asciiTheme="minorHAnsi" w:hAnsiTheme="minorHAnsi" w:cs="Tahoma"/>
        </w:rPr>
        <w:t xml:space="preserve">and therefore, Not Protectively Marked, </w:t>
      </w:r>
      <w:r w:rsidR="00137D45" w:rsidRPr="43CC5020">
        <w:rPr>
          <w:rFonts w:asciiTheme="minorHAnsi" w:hAnsiTheme="minorHAnsi" w:cs="Tahoma"/>
        </w:rPr>
        <w:t xml:space="preserve">under the Government Protective Marking Scheme and any referrals for advice and rationale in relation to Freedom of Information Act disclosure should be made to the NPCC Central Referral Unit at </w:t>
      </w:r>
      <w:hyperlink r:id="rId11">
        <w:r w:rsidR="6DBBF119" w:rsidRPr="43CC5020">
          <w:rPr>
            <w:rStyle w:val="Hyperlink"/>
            <w:rFonts w:ascii="Calibri" w:eastAsia="Calibri" w:hAnsi="Calibri" w:cs="Calibri"/>
            <w:sz w:val="24"/>
            <w:szCs w:val="24"/>
          </w:rPr>
          <w:t>npcc.foi.request@npfdu.police.uk</w:t>
        </w:r>
      </w:hyperlink>
      <w:r w:rsidR="6DBBF119" w:rsidRPr="43CC5020">
        <w:rPr>
          <w:rFonts w:ascii="Calibri" w:eastAsia="Calibri" w:hAnsi="Calibri" w:cs="Calibri"/>
          <w:color w:val="333333"/>
          <w:sz w:val="24"/>
          <w:szCs w:val="24"/>
        </w:rPr>
        <w:t xml:space="preserve"> </w:t>
      </w:r>
    </w:p>
    <w:p w:rsidR="002C0CD4" w:rsidRPr="00B976C1" w:rsidRDefault="002C0CD4" w:rsidP="002C0CD4">
      <w:pPr>
        <w:ind w:left="720" w:firstLine="720"/>
        <w:jc w:val="right"/>
        <w:rPr>
          <w:rFonts w:asciiTheme="minorHAnsi" w:hAnsiTheme="minorHAnsi" w:cs="Tahoma"/>
          <w:b/>
          <w:sz w:val="36"/>
          <w:szCs w:val="36"/>
        </w:rPr>
      </w:pPr>
    </w:p>
    <w:p w:rsidR="002C0CD4" w:rsidRPr="00B976C1" w:rsidRDefault="00B23D78" w:rsidP="00B976C1">
      <w:pPr>
        <w:rPr>
          <w:rFonts w:asciiTheme="minorHAnsi" w:hAnsiTheme="minorHAnsi" w:cs="Tahoma"/>
          <w:b/>
        </w:rPr>
      </w:pPr>
      <w:r>
        <w:rPr>
          <w:rFonts w:asciiTheme="minorHAnsi" w:hAnsiTheme="minorHAnsi" w:cs="Tahoma"/>
          <w:b/>
          <w:color w:val="003C69"/>
          <w:sz w:val="52"/>
          <w:szCs w:val="52"/>
        </w:rPr>
        <w:t>Document I</w:t>
      </w:r>
      <w:r w:rsidR="002C0CD4" w:rsidRPr="00B23D78">
        <w:rPr>
          <w:rFonts w:asciiTheme="minorHAnsi" w:hAnsiTheme="minorHAnsi" w:cs="Tahoma"/>
          <w:b/>
          <w:color w:val="003C69"/>
          <w:sz w:val="52"/>
          <w:szCs w:val="52"/>
        </w:rPr>
        <w:t>nformation</w:t>
      </w:r>
    </w:p>
    <w:p w:rsidR="00B976C1" w:rsidRDefault="00B976C1" w:rsidP="002C0CD4">
      <w:pPr>
        <w:rPr>
          <w:rFonts w:asciiTheme="minorHAnsi" w:hAnsiTheme="minorHAnsi" w:cs="Tahoma"/>
          <w:b/>
        </w:rPr>
      </w:pPr>
    </w:p>
    <w:p w:rsidR="002C0CD4" w:rsidRPr="00B976C1" w:rsidRDefault="008B6C84" w:rsidP="002C0CD4">
      <w:pPr>
        <w:rPr>
          <w:rFonts w:asciiTheme="minorHAnsi" w:hAnsiTheme="minorHAnsi" w:cs="Tahoma"/>
        </w:rPr>
      </w:pPr>
      <w:r w:rsidRPr="00B976C1">
        <w:rPr>
          <w:rFonts w:asciiTheme="minorHAnsi" w:hAnsiTheme="minorHAnsi" w:cs="Tahoma"/>
          <w:b/>
        </w:rPr>
        <w:t>Protective marking</w:t>
      </w:r>
      <w:r w:rsidR="00137D45" w:rsidRPr="00B976C1">
        <w:rPr>
          <w:rFonts w:asciiTheme="minorHAnsi" w:hAnsiTheme="minorHAnsi" w:cs="Tahoma"/>
          <w:b/>
        </w:rPr>
        <w:t>:</w:t>
      </w:r>
      <w:r w:rsidR="001835B5">
        <w:rPr>
          <w:rFonts w:asciiTheme="minorHAnsi" w:hAnsiTheme="minorHAnsi" w:cs="Tahoma"/>
        </w:rPr>
        <w:tab/>
      </w:r>
      <w:r w:rsidR="006161C5">
        <w:rPr>
          <w:rFonts w:asciiTheme="minorHAnsi" w:hAnsiTheme="minorHAnsi" w:cs="Tahoma"/>
        </w:rPr>
        <w:t>OFFICIAL, NOT PROTECTIVELY MARKED</w:t>
      </w:r>
    </w:p>
    <w:p w:rsidR="008B6C84" w:rsidRPr="00B976C1" w:rsidRDefault="008B6C84" w:rsidP="002C0CD4">
      <w:pPr>
        <w:rPr>
          <w:rFonts w:asciiTheme="minorHAnsi" w:hAnsiTheme="minorHAnsi" w:cs="Tahoma"/>
        </w:rPr>
      </w:pPr>
      <w:r w:rsidRPr="00B976C1">
        <w:rPr>
          <w:rFonts w:asciiTheme="minorHAnsi" w:hAnsiTheme="minorHAnsi" w:cs="Tahoma"/>
          <w:b/>
        </w:rPr>
        <w:t>Force/Organisation</w:t>
      </w:r>
      <w:r w:rsidR="00137D45" w:rsidRPr="00B976C1">
        <w:rPr>
          <w:rFonts w:asciiTheme="minorHAnsi" w:hAnsiTheme="minorHAnsi" w:cs="Tahoma"/>
          <w:b/>
        </w:rPr>
        <w:t>:</w:t>
      </w:r>
      <w:r w:rsidRPr="00B976C1">
        <w:rPr>
          <w:rFonts w:asciiTheme="minorHAnsi" w:hAnsiTheme="minorHAnsi" w:cs="Tahoma"/>
        </w:rPr>
        <w:tab/>
      </w:r>
      <w:r w:rsidR="00A6181E">
        <w:rPr>
          <w:rFonts w:asciiTheme="minorHAnsi" w:hAnsiTheme="minorHAnsi" w:cs="Tahoma"/>
        </w:rPr>
        <w:t>Digital Case File</w:t>
      </w:r>
      <w:r w:rsidR="000D5575">
        <w:rPr>
          <w:rFonts w:asciiTheme="minorHAnsi" w:hAnsiTheme="minorHAnsi" w:cs="Tahoma"/>
        </w:rPr>
        <w:t xml:space="preserve"> Team,</w:t>
      </w:r>
      <w:r w:rsidRPr="00B976C1">
        <w:rPr>
          <w:rFonts w:asciiTheme="minorHAnsi" w:hAnsiTheme="minorHAnsi" w:cs="Tahoma"/>
        </w:rPr>
        <w:tab/>
      </w:r>
      <w:r w:rsidR="000D5575">
        <w:rPr>
          <w:rFonts w:asciiTheme="minorHAnsi" w:hAnsiTheme="minorHAnsi" w:cs="Tahoma"/>
        </w:rPr>
        <w:t>Police Digital Service</w:t>
      </w:r>
      <w:r w:rsidRPr="00B976C1">
        <w:rPr>
          <w:rFonts w:asciiTheme="minorHAnsi" w:hAnsiTheme="minorHAnsi" w:cs="Tahoma"/>
        </w:rPr>
        <w:tab/>
      </w:r>
      <w:r w:rsidRPr="00B976C1">
        <w:rPr>
          <w:rFonts w:asciiTheme="minorHAnsi" w:hAnsiTheme="minorHAnsi" w:cs="Tahoma"/>
        </w:rPr>
        <w:tab/>
      </w:r>
      <w:r w:rsidR="00137D45" w:rsidRPr="00B976C1">
        <w:rPr>
          <w:rFonts w:asciiTheme="minorHAnsi" w:hAnsiTheme="minorHAnsi" w:cs="Tahoma"/>
        </w:rPr>
        <w:tab/>
      </w:r>
    </w:p>
    <w:p w:rsidR="008B6C84" w:rsidRDefault="008B6C84" w:rsidP="002C0CD4">
      <w:pPr>
        <w:rPr>
          <w:rFonts w:asciiTheme="minorHAnsi" w:hAnsiTheme="minorHAnsi" w:cs="Tahoma"/>
        </w:rPr>
      </w:pPr>
      <w:r w:rsidRPr="00B976C1">
        <w:rPr>
          <w:rFonts w:asciiTheme="minorHAnsi" w:hAnsiTheme="minorHAnsi" w:cs="Tahoma"/>
          <w:b/>
        </w:rPr>
        <w:t>National Policing Coordination Committee Area</w:t>
      </w:r>
      <w:r w:rsidR="00137D45" w:rsidRPr="00B976C1">
        <w:rPr>
          <w:rFonts w:asciiTheme="minorHAnsi" w:hAnsiTheme="minorHAnsi" w:cs="Tahoma"/>
          <w:b/>
        </w:rPr>
        <w:t>:</w:t>
      </w:r>
      <w:r w:rsidR="00137D45" w:rsidRPr="00B976C1">
        <w:rPr>
          <w:rFonts w:asciiTheme="minorHAnsi" w:hAnsiTheme="minorHAnsi" w:cs="Tahoma"/>
        </w:rPr>
        <w:tab/>
      </w:r>
      <w:r w:rsidR="006725E7">
        <w:rPr>
          <w:rFonts w:asciiTheme="minorHAnsi" w:hAnsiTheme="minorHAnsi" w:cs="Tahoma"/>
        </w:rPr>
        <w:t xml:space="preserve"> N</w:t>
      </w:r>
      <w:r w:rsidR="003E33B2">
        <w:rPr>
          <w:rFonts w:asciiTheme="minorHAnsi" w:hAnsiTheme="minorHAnsi" w:cs="Tahoma"/>
        </w:rPr>
        <w:t>PCC</w:t>
      </w:r>
      <w:r w:rsidR="001167E0">
        <w:rPr>
          <w:rFonts w:asciiTheme="minorHAnsi" w:hAnsiTheme="minorHAnsi" w:cs="Tahoma"/>
        </w:rPr>
        <w:t xml:space="preserve"> </w:t>
      </w:r>
      <w:r w:rsidR="000D5575">
        <w:rPr>
          <w:rFonts w:asciiTheme="minorHAnsi" w:hAnsiTheme="minorHAnsi" w:cs="Tahoma"/>
        </w:rPr>
        <w:t>Courts Portfolio</w:t>
      </w:r>
      <w:r w:rsidRPr="00B976C1">
        <w:rPr>
          <w:rFonts w:asciiTheme="minorHAnsi" w:hAnsiTheme="minorHAnsi" w:cs="Tahoma"/>
        </w:rPr>
        <w:tab/>
      </w:r>
    </w:p>
    <w:p w:rsidR="003E33B2" w:rsidRPr="00B976C1" w:rsidRDefault="003E33B2" w:rsidP="002C0CD4">
      <w:pPr>
        <w:rPr>
          <w:rFonts w:asciiTheme="minorHAnsi" w:hAnsiTheme="minorHAnsi" w:cs="Tahoma"/>
        </w:rPr>
      </w:pPr>
      <w:r w:rsidRPr="00B976C1">
        <w:rPr>
          <w:rFonts w:asciiTheme="minorHAnsi" w:hAnsiTheme="minorHAnsi" w:cs="Tahoma"/>
          <w:b/>
        </w:rPr>
        <w:t>Author:</w:t>
      </w:r>
      <w:r w:rsidRPr="00B976C1">
        <w:rPr>
          <w:rFonts w:asciiTheme="minorHAnsi" w:hAnsiTheme="minorHAnsi" w:cs="Tahoma"/>
        </w:rPr>
        <w:tab/>
      </w:r>
      <w:r>
        <w:rPr>
          <w:rFonts w:asciiTheme="minorHAnsi" w:hAnsiTheme="minorHAnsi" w:cs="Tahoma"/>
        </w:rPr>
        <w:t>Neil Edgar</w:t>
      </w:r>
    </w:p>
    <w:p w:rsidR="008B6C84" w:rsidRDefault="008B6C84" w:rsidP="002C0CD4">
      <w:pPr>
        <w:rPr>
          <w:rFonts w:asciiTheme="minorHAnsi" w:hAnsiTheme="minorHAnsi" w:cs="Tahoma"/>
        </w:rPr>
      </w:pPr>
      <w:r w:rsidRPr="00B976C1">
        <w:rPr>
          <w:rFonts w:asciiTheme="minorHAnsi" w:hAnsiTheme="minorHAnsi" w:cs="Tahoma"/>
          <w:b/>
        </w:rPr>
        <w:t>Contact details</w:t>
      </w:r>
      <w:r w:rsidR="00137D45" w:rsidRPr="00B976C1">
        <w:rPr>
          <w:rFonts w:asciiTheme="minorHAnsi" w:hAnsiTheme="minorHAnsi" w:cs="Tahoma"/>
          <w:b/>
        </w:rPr>
        <w:t>:</w:t>
      </w:r>
      <w:r w:rsidRPr="00B976C1">
        <w:rPr>
          <w:rFonts w:asciiTheme="minorHAnsi" w:hAnsiTheme="minorHAnsi" w:cs="Tahoma"/>
          <w:b/>
        </w:rPr>
        <w:tab/>
      </w:r>
      <w:hyperlink r:id="rId12" w:history="1">
        <w:r w:rsidR="009B4832" w:rsidRPr="003F06AC">
          <w:rPr>
            <w:rStyle w:val="Hyperlink"/>
            <w:rFonts w:asciiTheme="minorHAnsi" w:hAnsiTheme="minorHAnsi" w:cs="Tahoma"/>
          </w:rPr>
          <w:t>neil.edgar@pds.police.uk</w:t>
        </w:r>
      </w:hyperlink>
      <w:r w:rsidR="000D5575">
        <w:rPr>
          <w:rFonts w:asciiTheme="minorHAnsi" w:hAnsiTheme="minorHAnsi" w:cs="Tahoma"/>
        </w:rPr>
        <w:t xml:space="preserve"> </w:t>
      </w:r>
      <w:r w:rsidRPr="00B976C1">
        <w:rPr>
          <w:rFonts w:asciiTheme="minorHAnsi" w:hAnsiTheme="minorHAnsi" w:cs="Tahoma"/>
        </w:rPr>
        <w:tab/>
      </w:r>
      <w:r w:rsidR="00137D45" w:rsidRPr="00B976C1">
        <w:rPr>
          <w:rFonts w:asciiTheme="minorHAnsi" w:hAnsiTheme="minorHAnsi" w:cs="Tahoma"/>
        </w:rPr>
        <w:tab/>
      </w:r>
    </w:p>
    <w:p w:rsidR="00725E4E" w:rsidRDefault="00725E4E" w:rsidP="002C0CD4">
      <w:pPr>
        <w:rPr>
          <w:rFonts w:asciiTheme="minorHAnsi" w:hAnsiTheme="minorHAnsi" w:cs="Tahoma"/>
        </w:rPr>
      </w:pPr>
    </w:p>
    <w:p w:rsidR="00725E4E" w:rsidRPr="00677AA1" w:rsidRDefault="00725E4E" w:rsidP="002C0CD4">
      <w:r w:rsidRPr="00677AA1">
        <w:rPr>
          <w:rFonts w:asciiTheme="minorHAnsi" w:hAnsiTheme="minorHAnsi" w:cs="Tahoma"/>
          <w:b/>
        </w:rPr>
        <w:t>Version:</w:t>
      </w:r>
      <w:r w:rsidRPr="00677AA1">
        <w:rPr>
          <w:rFonts w:asciiTheme="minorHAnsi" w:hAnsiTheme="minorHAnsi" w:cs="Tahoma"/>
        </w:rPr>
        <w:tab/>
      </w:r>
      <w:r w:rsidRPr="00677AA1">
        <w:rPr>
          <w:rFonts w:asciiTheme="minorHAnsi" w:hAnsiTheme="minorHAnsi" w:cs="Tahoma"/>
        </w:rPr>
        <w:tab/>
      </w:r>
      <w:r w:rsidRPr="00677AA1">
        <w:rPr>
          <w:rFonts w:asciiTheme="minorHAnsi" w:hAnsiTheme="minorHAnsi" w:cstheme="minorHAnsi"/>
        </w:rPr>
        <w:t>1.1</w:t>
      </w:r>
    </w:p>
    <w:p w:rsidR="003468D7" w:rsidRPr="00677AA1" w:rsidRDefault="00E41AA5" w:rsidP="002C0CD4">
      <w:pPr>
        <w:rPr>
          <w:rFonts w:asciiTheme="minorHAnsi" w:hAnsiTheme="minorHAnsi" w:cs="Tahoma"/>
        </w:rPr>
      </w:pPr>
      <w:r w:rsidRPr="00677AA1">
        <w:rPr>
          <w:rFonts w:asciiTheme="minorHAnsi" w:hAnsiTheme="minorHAnsi" w:cs="Tahoma"/>
          <w:b/>
        </w:rPr>
        <w:t>Original Approval Date</w:t>
      </w:r>
      <w:r w:rsidRPr="00677AA1">
        <w:rPr>
          <w:rFonts w:asciiTheme="minorHAnsi" w:hAnsiTheme="minorHAnsi" w:cs="Tahoma"/>
        </w:rPr>
        <w:t>:</w:t>
      </w:r>
      <w:r w:rsidR="009330D3" w:rsidRPr="00677AA1">
        <w:rPr>
          <w:rFonts w:asciiTheme="minorHAnsi" w:hAnsiTheme="minorHAnsi" w:cs="Tahoma"/>
        </w:rPr>
        <w:t xml:space="preserve"> 21/02/2024</w:t>
      </w:r>
    </w:p>
    <w:p w:rsidR="00161F55" w:rsidRPr="00677AA1" w:rsidRDefault="004C1E33" w:rsidP="002C0CD4">
      <w:pPr>
        <w:rPr>
          <w:rFonts w:asciiTheme="minorHAnsi" w:hAnsiTheme="minorHAnsi" w:cs="Tahoma"/>
          <w:b/>
          <w:sz w:val="18"/>
          <w:szCs w:val="18"/>
        </w:rPr>
      </w:pPr>
      <w:r w:rsidRPr="00677AA1">
        <w:rPr>
          <w:rFonts w:asciiTheme="minorHAnsi" w:hAnsiTheme="minorHAnsi" w:cs="Tahoma"/>
          <w:b/>
        </w:rPr>
        <w:t>Last Review</w:t>
      </w:r>
      <w:r w:rsidR="00161F55" w:rsidRPr="00677AA1">
        <w:rPr>
          <w:rFonts w:asciiTheme="minorHAnsi" w:hAnsiTheme="minorHAnsi" w:cs="Tahoma"/>
          <w:b/>
        </w:rPr>
        <w:t>:</w:t>
      </w:r>
      <w:r w:rsidR="00161F55" w:rsidRPr="00677AA1">
        <w:rPr>
          <w:rFonts w:asciiTheme="minorHAnsi" w:hAnsiTheme="minorHAnsi" w:cs="Tahoma"/>
          <w:b/>
          <w:sz w:val="18"/>
          <w:szCs w:val="18"/>
        </w:rPr>
        <w:t xml:space="preserve"> </w:t>
      </w:r>
      <w:r w:rsidR="00161F55" w:rsidRPr="00677AA1">
        <w:rPr>
          <w:rFonts w:asciiTheme="minorHAnsi" w:hAnsiTheme="minorHAnsi" w:cstheme="minorHAnsi"/>
        </w:rPr>
        <w:t>05/12/24</w:t>
      </w:r>
    </w:p>
    <w:p w:rsidR="002C0CD4" w:rsidRPr="00677AA1" w:rsidRDefault="004C1E33" w:rsidP="002C0CD4">
      <w:pPr>
        <w:rPr>
          <w:rFonts w:asciiTheme="minorHAnsi" w:hAnsiTheme="minorHAnsi" w:cstheme="minorHAnsi"/>
        </w:rPr>
      </w:pPr>
      <w:r w:rsidRPr="00677AA1">
        <w:rPr>
          <w:rFonts w:asciiTheme="minorHAnsi" w:hAnsiTheme="minorHAnsi" w:cs="Tahoma"/>
          <w:b/>
        </w:rPr>
        <w:t>Reviewed</w:t>
      </w:r>
      <w:r w:rsidR="00F05439" w:rsidRPr="00677AA1">
        <w:rPr>
          <w:rFonts w:asciiTheme="minorHAnsi" w:hAnsiTheme="minorHAnsi" w:cs="Tahoma"/>
          <w:b/>
        </w:rPr>
        <w:t xml:space="preserve"> by:</w:t>
      </w:r>
      <w:r w:rsidR="00F05439" w:rsidRPr="00677AA1">
        <w:rPr>
          <w:rFonts w:asciiTheme="minorHAnsi" w:hAnsiTheme="minorHAnsi" w:cs="Tahoma"/>
          <w:b/>
          <w:sz w:val="18"/>
          <w:szCs w:val="18"/>
        </w:rPr>
        <w:t xml:space="preserve"> </w:t>
      </w:r>
      <w:r w:rsidR="00F05439" w:rsidRPr="00677AA1">
        <w:rPr>
          <w:rFonts w:asciiTheme="minorHAnsi" w:hAnsiTheme="minorHAnsi" w:cstheme="minorHAnsi"/>
        </w:rPr>
        <w:t>Staff Officer to ACC Gilmer</w:t>
      </w:r>
      <w:r w:rsidR="00623F4E" w:rsidRPr="00677AA1">
        <w:rPr>
          <w:rFonts w:asciiTheme="minorHAnsi" w:hAnsiTheme="minorHAnsi" w:cstheme="minorHAnsi"/>
        </w:rPr>
        <w:t xml:space="preserve">, </w:t>
      </w:r>
      <w:r w:rsidR="00623F4E" w:rsidRPr="00677AA1">
        <w:rPr>
          <w:rFonts w:asciiTheme="minorHAnsi" w:hAnsiTheme="minorHAnsi" w:cs="Tahoma"/>
        </w:rPr>
        <w:t>NPCC Courts Portfolio Lead</w:t>
      </w:r>
    </w:p>
    <w:p w:rsidR="002E6DA6" w:rsidRPr="001835B5" w:rsidRDefault="002E6DA6" w:rsidP="002C0CD4">
      <w:pPr>
        <w:rPr>
          <w:rFonts w:asciiTheme="minorHAnsi" w:hAnsiTheme="minorHAnsi" w:cs="Tahoma"/>
          <w:sz w:val="18"/>
          <w:szCs w:val="18"/>
        </w:rPr>
      </w:pPr>
      <w:r w:rsidRPr="00677AA1">
        <w:rPr>
          <w:rFonts w:asciiTheme="minorHAnsi" w:hAnsiTheme="minorHAnsi" w:cs="Tahoma"/>
          <w:b/>
        </w:rPr>
        <w:t xml:space="preserve">Next Review date: </w:t>
      </w:r>
      <w:r w:rsidRPr="00677AA1">
        <w:rPr>
          <w:rFonts w:asciiTheme="minorHAnsi" w:hAnsiTheme="minorHAnsi" w:cs="Tahoma"/>
        </w:rPr>
        <w:t>01/12/2026</w:t>
      </w:r>
      <w:r w:rsidRPr="00B976C1">
        <w:rPr>
          <w:rFonts w:asciiTheme="minorHAnsi" w:hAnsiTheme="minorHAnsi" w:cs="Tahoma"/>
        </w:rPr>
        <w:tab/>
      </w:r>
    </w:p>
    <w:p w:rsidR="00137D45" w:rsidRPr="00B976C1" w:rsidRDefault="00137D45" w:rsidP="65F74FF8">
      <w:pPr>
        <w:jc w:val="both"/>
        <w:rPr>
          <w:rFonts w:asciiTheme="minorHAnsi" w:hAnsiTheme="minorHAnsi" w:cs="Tahoma"/>
        </w:rPr>
      </w:pPr>
      <w:r w:rsidRPr="65F74FF8">
        <w:rPr>
          <w:rFonts w:asciiTheme="minorHAnsi" w:hAnsiTheme="minorHAnsi" w:cs="Tahoma"/>
        </w:rPr>
        <w:t xml:space="preserve">Any queries relating to this document should be directed to either the author detailed above or the NPCC Business Support Office on </w:t>
      </w:r>
      <w:hyperlink r:id="rId13" w:history="1">
        <w:r w:rsidR="00F843CE" w:rsidRPr="001C7A9A">
          <w:rPr>
            <w:rStyle w:val="Hyperlink"/>
            <w:rFonts w:asciiTheme="minorHAnsi" w:hAnsiTheme="minorHAnsi" w:cs="Tahoma"/>
          </w:rPr>
          <w:t>business.support@npcc.police.uk</w:t>
        </w:r>
      </w:hyperlink>
      <w:r w:rsidR="00F843CE">
        <w:rPr>
          <w:rFonts w:asciiTheme="minorHAnsi" w:hAnsiTheme="minorHAnsi" w:cs="Tahoma"/>
        </w:rPr>
        <w:t xml:space="preserve"> </w:t>
      </w:r>
    </w:p>
    <w:p w:rsidR="00137D45" w:rsidRPr="00B976C1" w:rsidRDefault="00137D45" w:rsidP="00B976C1">
      <w:pPr>
        <w:jc w:val="center"/>
        <w:rPr>
          <w:rFonts w:asciiTheme="minorHAnsi" w:hAnsiTheme="minorHAnsi" w:cs="Tahoma"/>
          <w:sz w:val="18"/>
          <w:szCs w:val="18"/>
        </w:rPr>
      </w:pPr>
    </w:p>
    <w:p w:rsidR="002C0CD4" w:rsidRPr="00B976C1" w:rsidRDefault="002C0CD4" w:rsidP="00B976C1">
      <w:pPr>
        <w:rPr>
          <w:rFonts w:asciiTheme="minorHAnsi" w:hAnsiTheme="minorHAnsi" w:cs="Tahoma"/>
          <w:sz w:val="18"/>
          <w:szCs w:val="18"/>
        </w:rPr>
      </w:pPr>
      <w:r w:rsidRPr="00B976C1">
        <w:rPr>
          <w:rFonts w:asciiTheme="minorHAnsi" w:hAnsiTheme="minorHAnsi" w:cs="Tahoma"/>
          <w:sz w:val="18"/>
          <w:szCs w:val="18"/>
        </w:rPr>
        <w:t xml:space="preserve">  </w:t>
      </w:r>
    </w:p>
    <w:p w:rsidR="00CC096C" w:rsidRDefault="00B976C1" w:rsidP="009330D3">
      <w:pPr>
        <w:jc w:val="center"/>
        <w:rPr>
          <w:rFonts w:asciiTheme="minorHAnsi" w:hAnsiTheme="minorHAnsi" w:cs="Tahoma"/>
        </w:rPr>
      </w:pPr>
      <w:r w:rsidRPr="00B976C1">
        <w:rPr>
          <w:rFonts w:asciiTheme="minorHAnsi" w:hAnsiTheme="minorHAnsi" w:cs="Tahoma"/>
        </w:rPr>
        <w:t>© 2015 – NPCC</w:t>
      </w:r>
    </w:p>
    <w:p w:rsidR="00CC096C" w:rsidRDefault="00CC096C" w:rsidP="00E41AA5">
      <w:pPr>
        <w:rPr>
          <w:rFonts w:asciiTheme="minorHAnsi" w:hAnsiTheme="minorHAnsi" w:cs="Tahoma"/>
        </w:rPr>
        <w:sectPr w:rsidR="00CC096C" w:rsidSect="00AE2511">
          <w:headerReference w:type="default" r:id="rId14"/>
          <w:footerReference w:type="default" r:id="rId15"/>
          <w:headerReference w:type="first" r:id="rId16"/>
          <w:footerReference w:type="first" r:id="rId17"/>
          <w:pgSz w:w="11906" w:h="16838"/>
          <w:pgMar w:top="1843" w:right="851" w:bottom="1701" w:left="851" w:header="794" w:footer="227" w:gutter="0"/>
          <w:cols w:space="708"/>
          <w:titlePg/>
          <w:docGrid w:linePitch="360"/>
        </w:sectPr>
      </w:pPr>
    </w:p>
    <w:p w:rsidR="00CC096C" w:rsidRPr="00B976C1" w:rsidRDefault="00CC096C" w:rsidP="00B976C1">
      <w:pPr>
        <w:jc w:val="center"/>
        <w:rPr>
          <w:rFonts w:asciiTheme="minorHAnsi" w:hAnsiTheme="minorHAnsi" w:cs="Tahoma"/>
        </w:rPr>
      </w:pPr>
    </w:p>
    <w:p w:rsidR="002C0CD4" w:rsidRPr="00B976C1" w:rsidRDefault="002C0CD4" w:rsidP="002C0CD4">
      <w:pPr>
        <w:rPr>
          <w:rFonts w:asciiTheme="minorHAnsi" w:hAnsiTheme="minorHAnsi" w:cs="Tahoma"/>
          <w:b/>
          <w:sz w:val="18"/>
          <w:szCs w:val="18"/>
        </w:rPr>
      </w:pPr>
    </w:p>
    <w:p w:rsidR="00990E34" w:rsidRDefault="00990E34" w:rsidP="002C0CD4">
      <w:pPr>
        <w:rPr>
          <w:rFonts w:asciiTheme="minorHAnsi" w:hAnsiTheme="minorHAnsi" w:cs="Tahoma"/>
          <w:b/>
          <w:sz w:val="18"/>
          <w:szCs w:val="18"/>
        </w:rPr>
      </w:pPr>
    </w:p>
    <w:p w:rsidR="00990E34" w:rsidRPr="00B976C1" w:rsidRDefault="005D454D" w:rsidP="00990E34">
      <w:pPr>
        <w:rPr>
          <w:rFonts w:asciiTheme="minorHAnsi" w:hAnsiTheme="minorHAnsi" w:cs="Tahoma"/>
          <w:b/>
          <w:color w:val="003C69"/>
          <w:sz w:val="32"/>
          <w:szCs w:val="32"/>
        </w:rPr>
      </w:pPr>
      <w:r>
        <w:rPr>
          <w:rFonts w:asciiTheme="minorHAnsi" w:hAnsiTheme="minorHAnsi" w:cs="Tahoma"/>
          <w:b/>
          <w:color w:val="003C69"/>
          <w:sz w:val="32"/>
          <w:szCs w:val="32"/>
        </w:rPr>
        <w:t>Contents</w:t>
      </w:r>
    </w:p>
    <w:p w:rsidR="00990E34" w:rsidRDefault="00990E34" w:rsidP="002C0CD4">
      <w:pPr>
        <w:rPr>
          <w:rFonts w:asciiTheme="minorHAnsi" w:hAnsiTheme="minorHAnsi" w:cs="Tahoma"/>
          <w:b/>
          <w:sz w:val="18"/>
          <w:szCs w:val="18"/>
        </w:rPr>
      </w:pPr>
    </w:p>
    <w:p w:rsidR="00A82EAC" w:rsidRDefault="00AB3D26">
      <w:pPr>
        <w:pStyle w:val="TOC1"/>
        <w:tabs>
          <w:tab w:val="left" w:pos="440"/>
          <w:tab w:val="right" w:leader="dot" w:pos="10194"/>
        </w:tabs>
        <w:rPr>
          <w:rFonts w:eastAsiaTheme="minorEastAsia" w:cstheme="minorBidi"/>
          <w:b w:val="0"/>
          <w:noProof/>
          <w:lang w:eastAsia="en-GB"/>
        </w:rPr>
      </w:pPr>
      <w:r>
        <w:rPr>
          <w:rFonts w:cs="Tahoma"/>
          <w:b w:val="0"/>
          <w:sz w:val="18"/>
          <w:szCs w:val="18"/>
        </w:rPr>
        <w:fldChar w:fldCharType="begin"/>
      </w:r>
      <w:r>
        <w:rPr>
          <w:rFonts w:cs="Tahoma"/>
          <w:b w:val="0"/>
          <w:sz w:val="18"/>
          <w:szCs w:val="18"/>
        </w:rPr>
        <w:instrText xml:space="preserve"> TOC \o "1-2" \h \z \u </w:instrText>
      </w:r>
      <w:r>
        <w:rPr>
          <w:rFonts w:cs="Tahoma"/>
          <w:b w:val="0"/>
          <w:sz w:val="18"/>
          <w:szCs w:val="18"/>
        </w:rPr>
        <w:fldChar w:fldCharType="separate"/>
      </w:r>
      <w:hyperlink w:anchor="_Toc185589604" w:history="1">
        <w:r w:rsidR="00A82EAC" w:rsidRPr="006C46A4">
          <w:rPr>
            <w:rStyle w:val="Hyperlink"/>
            <w:noProof/>
            <w:lang w:bidi="en-US"/>
          </w:rPr>
          <w:t>1.</w:t>
        </w:r>
        <w:r w:rsidR="00A82EAC">
          <w:rPr>
            <w:rFonts w:eastAsiaTheme="minorEastAsia" w:cstheme="minorBidi"/>
            <w:b w:val="0"/>
            <w:noProof/>
            <w:lang w:eastAsia="en-GB"/>
          </w:rPr>
          <w:tab/>
        </w:r>
        <w:r w:rsidR="00A82EAC" w:rsidRPr="006C46A4">
          <w:rPr>
            <w:rStyle w:val="Hyperlink"/>
            <w:noProof/>
          </w:rPr>
          <w:t>PURPOSE AND SCOPE OF THE MEMORANDUM OF UNDERSTANDING</w:t>
        </w:r>
        <w:r w:rsidR="00A82EAC">
          <w:rPr>
            <w:noProof/>
            <w:webHidden/>
          </w:rPr>
          <w:tab/>
        </w:r>
        <w:r w:rsidR="00A82EAC">
          <w:rPr>
            <w:noProof/>
            <w:webHidden/>
          </w:rPr>
          <w:fldChar w:fldCharType="begin"/>
        </w:r>
        <w:r w:rsidR="00A82EAC">
          <w:rPr>
            <w:noProof/>
            <w:webHidden/>
          </w:rPr>
          <w:instrText xml:space="preserve"> PAGEREF _Toc185589604 \h </w:instrText>
        </w:r>
        <w:r w:rsidR="00A82EAC">
          <w:rPr>
            <w:noProof/>
            <w:webHidden/>
          </w:rPr>
        </w:r>
        <w:r w:rsidR="00A82EAC">
          <w:rPr>
            <w:noProof/>
            <w:webHidden/>
          </w:rPr>
          <w:fldChar w:fldCharType="separate"/>
        </w:r>
        <w:r w:rsidR="0035776A">
          <w:rPr>
            <w:noProof/>
            <w:webHidden/>
          </w:rPr>
          <w:t>3</w:t>
        </w:r>
        <w:r w:rsidR="00A82EAC">
          <w:rPr>
            <w:noProof/>
            <w:webHidden/>
          </w:rPr>
          <w:fldChar w:fldCharType="end"/>
        </w:r>
      </w:hyperlink>
    </w:p>
    <w:p w:rsidR="00A82EAC" w:rsidRDefault="00A82EAC">
      <w:pPr>
        <w:pStyle w:val="TOC1"/>
        <w:tabs>
          <w:tab w:val="left" w:pos="440"/>
          <w:tab w:val="right" w:leader="dot" w:pos="10194"/>
        </w:tabs>
        <w:rPr>
          <w:rFonts w:eastAsiaTheme="minorEastAsia" w:cstheme="minorBidi"/>
          <w:b w:val="0"/>
          <w:noProof/>
          <w:lang w:eastAsia="en-GB"/>
        </w:rPr>
      </w:pPr>
      <w:hyperlink w:anchor="_Toc185589605" w:history="1">
        <w:r w:rsidRPr="006C46A4">
          <w:rPr>
            <w:rStyle w:val="Hyperlink"/>
            <w:noProof/>
          </w:rPr>
          <w:t>2.</w:t>
        </w:r>
        <w:r>
          <w:rPr>
            <w:rFonts w:eastAsiaTheme="minorEastAsia" w:cstheme="minorBidi"/>
            <w:b w:val="0"/>
            <w:noProof/>
            <w:lang w:eastAsia="en-GB"/>
          </w:rPr>
          <w:tab/>
        </w:r>
        <w:r w:rsidRPr="006C46A4">
          <w:rPr>
            <w:rStyle w:val="Hyperlink"/>
            <w:noProof/>
          </w:rPr>
          <w:t>STATEMENT OF OBJECTIVES AND BENEFITS</w:t>
        </w:r>
        <w:r>
          <w:rPr>
            <w:noProof/>
            <w:webHidden/>
          </w:rPr>
          <w:tab/>
        </w:r>
        <w:r>
          <w:rPr>
            <w:noProof/>
            <w:webHidden/>
          </w:rPr>
          <w:fldChar w:fldCharType="begin"/>
        </w:r>
        <w:r>
          <w:rPr>
            <w:noProof/>
            <w:webHidden/>
          </w:rPr>
          <w:instrText xml:space="preserve"> PAGEREF _Toc185589605 \h </w:instrText>
        </w:r>
        <w:r>
          <w:rPr>
            <w:noProof/>
            <w:webHidden/>
          </w:rPr>
        </w:r>
        <w:r>
          <w:rPr>
            <w:noProof/>
            <w:webHidden/>
          </w:rPr>
          <w:fldChar w:fldCharType="separate"/>
        </w:r>
        <w:r w:rsidR="0035776A">
          <w:rPr>
            <w:noProof/>
            <w:webHidden/>
          </w:rPr>
          <w:t>3</w:t>
        </w:r>
        <w:r>
          <w:rPr>
            <w:noProof/>
            <w:webHidden/>
          </w:rPr>
          <w:fldChar w:fldCharType="end"/>
        </w:r>
      </w:hyperlink>
    </w:p>
    <w:p w:rsidR="00A82EAC" w:rsidRDefault="00A82EAC">
      <w:pPr>
        <w:pStyle w:val="TOC1"/>
        <w:tabs>
          <w:tab w:val="left" w:pos="440"/>
          <w:tab w:val="right" w:leader="dot" w:pos="10194"/>
        </w:tabs>
        <w:rPr>
          <w:rFonts w:eastAsiaTheme="minorEastAsia" w:cstheme="minorBidi"/>
          <w:b w:val="0"/>
          <w:noProof/>
          <w:lang w:eastAsia="en-GB"/>
        </w:rPr>
      </w:pPr>
      <w:hyperlink w:anchor="_Toc185589606" w:history="1">
        <w:r w:rsidRPr="006C46A4">
          <w:rPr>
            <w:rStyle w:val="Hyperlink"/>
            <w:noProof/>
          </w:rPr>
          <w:t>3.</w:t>
        </w:r>
        <w:r>
          <w:rPr>
            <w:rFonts w:eastAsiaTheme="minorEastAsia" w:cstheme="minorBidi"/>
            <w:b w:val="0"/>
            <w:noProof/>
            <w:lang w:eastAsia="en-GB"/>
          </w:rPr>
          <w:tab/>
        </w:r>
        <w:r w:rsidRPr="006C46A4">
          <w:rPr>
            <w:rStyle w:val="Hyperlink"/>
            <w:noProof/>
          </w:rPr>
          <w:t xml:space="preserve">COMMENCEMENT, DURATION, INTERPRETATION AND AMENDMENT OF THE </w:t>
        </w:r>
        <w:r w:rsidRPr="006C46A4">
          <w:rPr>
            <w:rStyle w:val="Hyperlink"/>
            <w:noProof/>
            <w:lang w:val="en-US" w:bidi="en-US"/>
          </w:rPr>
          <w:t>MEMORANDUM OF UNDERSTANDING</w:t>
        </w:r>
        <w:r>
          <w:rPr>
            <w:noProof/>
            <w:webHidden/>
          </w:rPr>
          <w:tab/>
        </w:r>
        <w:r>
          <w:rPr>
            <w:noProof/>
            <w:webHidden/>
          </w:rPr>
          <w:fldChar w:fldCharType="begin"/>
        </w:r>
        <w:r>
          <w:rPr>
            <w:noProof/>
            <w:webHidden/>
          </w:rPr>
          <w:instrText xml:space="preserve"> PAGEREF _Toc185589606 \h </w:instrText>
        </w:r>
        <w:r>
          <w:rPr>
            <w:noProof/>
            <w:webHidden/>
          </w:rPr>
        </w:r>
        <w:r>
          <w:rPr>
            <w:noProof/>
            <w:webHidden/>
          </w:rPr>
          <w:fldChar w:fldCharType="separate"/>
        </w:r>
        <w:r w:rsidR="0035776A">
          <w:rPr>
            <w:noProof/>
            <w:webHidden/>
          </w:rPr>
          <w:t>3</w:t>
        </w:r>
        <w:r>
          <w:rPr>
            <w:noProof/>
            <w:webHidden/>
          </w:rPr>
          <w:fldChar w:fldCharType="end"/>
        </w:r>
      </w:hyperlink>
    </w:p>
    <w:p w:rsidR="00A82EAC" w:rsidRDefault="00A82EAC">
      <w:pPr>
        <w:pStyle w:val="TOC1"/>
        <w:tabs>
          <w:tab w:val="left" w:pos="440"/>
          <w:tab w:val="right" w:leader="dot" w:pos="10194"/>
        </w:tabs>
        <w:rPr>
          <w:rFonts w:eastAsiaTheme="minorEastAsia" w:cstheme="minorBidi"/>
          <w:b w:val="0"/>
          <w:noProof/>
          <w:lang w:eastAsia="en-GB"/>
        </w:rPr>
      </w:pPr>
      <w:hyperlink w:anchor="_Toc185589607" w:history="1">
        <w:r w:rsidRPr="006C46A4">
          <w:rPr>
            <w:rStyle w:val="Hyperlink"/>
            <w:noProof/>
          </w:rPr>
          <w:t>4.</w:t>
        </w:r>
        <w:r>
          <w:rPr>
            <w:rFonts w:eastAsiaTheme="minorEastAsia" w:cstheme="minorBidi"/>
            <w:b w:val="0"/>
            <w:noProof/>
            <w:lang w:eastAsia="en-GB"/>
          </w:rPr>
          <w:tab/>
        </w:r>
        <w:r w:rsidRPr="006C46A4">
          <w:rPr>
            <w:rStyle w:val="Hyperlink"/>
            <w:noProof/>
          </w:rPr>
          <w:t>NATIONALLY AGREED STANDARDS</w:t>
        </w:r>
        <w:r>
          <w:rPr>
            <w:noProof/>
            <w:webHidden/>
          </w:rPr>
          <w:tab/>
        </w:r>
        <w:r>
          <w:rPr>
            <w:noProof/>
            <w:webHidden/>
          </w:rPr>
          <w:fldChar w:fldCharType="begin"/>
        </w:r>
        <w:r>
          <w:rPr>
            <w:noProof/>
            <w:webHidden/>
          </w:rPr>
          <w:instrText xml:space="preserve"> PAGEREF _Toc185589607 \h </w:instrText>
        </w:r>
        <w:r>
          <w:rPr>
            <w:noProof/>
            <w:webHidden/>
          </w:rPr>
        </w:r>
        <w:r>
          <w:rPr>
            <w:noProof/>
            <w:webHidden/>
          </w:rPr>
          <w:fldChar w:fldCharType="separate"/>
        </w:r>
        <w:r w:rsidR="0035776A">
          <w:rPr>
            <w:noProof/>
            <w:webHidden/>
          </w:rPr>
          <w:t>4</w:t>
        </w:r>
        <w:r>
          <w:rPr>
            <w:noProof/>
            <w:webHidden/>
          </w:rPr>
          <w:fldChar w:fldCharType="end"/>
        </w:r>
      </w:hyperlink>
    </w:p>
    <w:p w:rsidR="00A82EAC" w:rsidRDefault="00A82EAC">
      <w:pPr>
        <w:pStyle w:val="TOC1"/>
        <w:tabs>
          <w:tab w:val="left" w:pos="440"/>
          <w:tab w:val="right" w:leader="dot" w:pos="10194"/>
        </w:tabs>
        <w:rPr>
          <w:rFonts w:eastAsiaTheme="minorEastAsia" w:cstheme="minorBidi"/>
          <w:b w:val="0"/>
          <w:noProof/>
          <w:lang w:eastAsia="en-GB"/>
        </w:rPr>
      </w:pPr>
      <w:hyperlink w:anchor="_Toc185589608" w:history="1">
        <w:r w:rsidRPr="006C46A4">
          <w:rPr>
            <w:rStyle w:val="Hyperlink"/>
            <w:noProof/>
          </w:rPr>
          <w:t>5.</w:t>
        </w:r>
        <w:r>
          <w:rPr>
            <w:rFonts w:eastAsiaTheme="minorEastAsia" w:cstheme="minorBidi"/>
            <w:b w:val="0"/>
            <w:noProof/>
            <w:lang w:eastAsia="en-GB"/>
          </w:rPr>
          <w:tab/>
        </w:r>
        <w:r w:rsidRPr="006C46A4">
          <w:rPr>
            <w:rStyle w:val="Hyperlink"/>
            <w:noProof/>
          </w:rPr>
          <w:t>DATA PROTECTION</w:t>
        </w:r>
        <w:r>
          <w:rPr>
            <w:noProof/>
            <w:webHidden/>
          </w:rPr>
          <w:tab/>
        </w:r>
        <w:r>
          <w:rPr>
            <w:noProof/>
            <w:webHidden/>
          </w:rPr>
          <w:fldChar w:fldCharType="begin"/>
        </w:r>
        <w:r>
          <w:rPr>
            <w:noProof/>
            <w:webHidden/>
          </w:rPr>
          <w:instrText xml:space="preserve"> PAGEREF _Toc185589608 \h </w:instrText>
        </w:r>
        <w:r>
          <w:rPr>
            <w:noProof/>
            <w:webHidden/>
          </w:rPr>
        </w:r>
        <w:r>
          <w:rPr>
            <w:noProof/>
            <w:webHidden/>
          </w:rPr>
          <w:fldChar w:fldCharType="separate"/>
        </w:r>
        <w:r w:rsidR="0035776A">
          <w:rPr>
            <w:noProof/>
            <w:webHidden/>
          </w:rPr>
          <w:t>5</w:t>
        </w:r>
        <w:r>
          <w:rPr>
            <w:noProof/>
            <w:webHidden/>
          </w:rPr>
          <w:fldChar w:fldCharType="end"/>
        </w:r>
      </w:hyperlink>
    </w:p>
    <w:p w:rsidR="00A82EAC" w:rsidRDefault="00A82EAC">
      <w:pPr>
        <w:pStyle w:val="TOC1"/>
        <w:tabs>
          <w:tab w:val="left" w:pos="440"/>
          <w:tab w:val="right" w:leader="dot" w:pos="10194"/>
        </w:tabs>
        <w:rPr>
          <w:rFonts w:eastAsiaTheme="minorEastAsia" w:cstheme="minorBidi"/>
          <w:b w:val="0"/>
          <w:noProof/>
          <w:lang w:eastAsia="en-GB"/>
        </w:rPr>
      </w:pPr>
      <w:hyperlink w:anchor="_Toc185589609" w:history="1">
        <w:r w:rsidRPr="006C46A4">
          <w:rPr>
            <w:rStyle w:val="Hyperlink"/>
            <w:noProof/>
          </w:rPr>
          <w:t>6.</w:t>
        </w:r>
        <w:r>
          <w:rPr>
            <w:rFonts w:eastAsiaTheme="minorEastAsia" w:cstheme="minorBidi"/>
            <w:b w:val="0"/>
            <w:noProof/>
            <w:lang w:eastAsia="en-GB"/>
          </w:rPr>
          <w:tab/>
        </w:r>
        <w:r w:rsidRPr="006C46A4">
          <w:rPr>
            <w:rStyle w:val="Hyperlink"/>
            <w:noProof/>
          </w:rPr>
          <w:t>GATHERING AND RETENTION OF MME</w:t>
        </w:r>
        <w:r>
          <w:rPr>
            <w:noProof/>
            <w:webHidden/>
          </w:rPr>
          <w:tab/>
        </w:r>
        <w:r>
          <w:rPr>
            <w:noProof/>
            <w:webHidden/>
          </w:rPr>
          <w:fldChar w:fldCharType="begin"/>
        </w:r>
        <w:r>
          <w:rPr>
            <w:noProof/>
            <w:webHidden/>
          </w:rPr>
          <w:instrText xml:space="preserve"> PAGEREF _Toc185589609 \h </w:instrText>
        </w:r>
        <w:r>
          <w:rPr>
            <w:noProof/>
            <w:webHidden/>
          </w:rPr>
        </w:r>
        <w:r>
          <w:rPr>
            <w:noProof/>
            <w:webHidden/>
          </w:rPr>
          <w:fldChar w:fldCharType="separate"/>
        </w:r>
        <w:r w:rsidR="0035776A">
          <w:rPr>
            <w:noProof/>
            <w:webHidden/>
          </w:rPr>
          <w:t>7</w:t>
        </w:r>
        <w:r>
          <w:rPr>
            <w:noProof/>
            <w:webHidden/>
          </w:rPr>
          <w:fldChar w:fldCharType="end"/>
        </w:r>
      </w:hyperlink>
    </w:p>
    <w:p w:rsidR="00A82EAC" w:rsidRDefault="00A82EAC">
      <w:pPr>
        <w:pStyle w:val="TOC1"/>
        <w:tabs>
          <w:tab w:val="left" w:pos="440"/>
          <w:tab w:val="right" w:leader="dot" w:pos="10194"/>
        </w:tabs>
        <w:rPr>
          <w:rFonts w:eastAsiaTheme="minorEastAsia" w:cstheme="minorBidi"/>
          <w:b w:val="0"/>
          <w:noProof/>
          <w:lang w:eastAsia="en-GB"/>
        </w:rPr>
      </w:pPr>
      <w:hyperlink w:anchor="_Toc185589610" w:history="1">
        <w:r w:rsidRPr="006C46A4">
          <w:rPr>
            <w:rStyle w:val="Hyperlink"/>
            <w:noProof/>
          </w:rPr>
          <w:t>7.</w:t>
        </w:r>
        <w:r>
          <w:rPr>
            <w:rFonts w:eastAsiaTheme="minorEastAsia" w:cstheme="minorBidi"/>
            <w:b w:val="0"/>
            <w:noProof/>
            <w:lang w:eastAsia="en-GB"/>
          </w:rPr>
          <w:tab/>
        </w:r>
        <w:r w:rsidRPr="006C46A4">
          <w:rPr>
            <w:rStyle w:val="Hyperlink"/>
            <w:noProof/>
          </w:rPr>
          <w:t>SUPPLY OF MME TO CPS</w:t>
        </w:r>
        <w:r>
          <w:rPr>
            <w:noProof/>
            <w:webHidden/>
          </w:rPr>
          <w:tab/>
        </w:r>
        <w:r>
          <w:rPr>
            <w:noProof/>
            <w:webHidden/>
          </w:rPr>
          <w:fldChar w:fldCharType="begin"/>
        </w:r>
        <w:r>
          <w:rPr>
            <w:noProof/>
            <w:webHidden/>
          </w:rPr>
          <w:instrText xml:space="preserve"> PAGEREF _Toc185589610 \h </w:instrText>
        </w:r>
        <w:r>
          <w:rPr>
            <w:noProof/>
            <w:webHidden/>
          </w:rPr>
        </w:r>
        <w:r>
          <w:rPr>
            <w:noProof/>
            <w:webHidden/>
          </w:rPr>
          <w:fldChar w:fldCharType="separate"/>
        </w:r>
        <w:r w:rsidR="0035776A">
          <w:rPr>
            <w:noProof/>
            <w:webHidden/>
          </w:rPr>
          <w:t>7</w:t>
        </w:r>
        <w:r>
          <w:rPr>
            <w:noProof/>
            <w:webHidden/>
          </w:rPr>
          <w:fldChar w:fldCharType="end"/>
        </w:r>
      </w:hyperlink>
    </w:p>
    <w:p w:rsidR="00A82EAC" w:rsidRDefault="00A82EAC">
      <w:pPr>
        <w:pStyle w:val="TOC1"/>
        <w:tabs>
          <w:tab w:val="left" w:pos="440"/>
          <w:tab w:val="right" w:leader="dot" w:pos="10194"/>
        </w:tabs>
        <w:rPr>
          <w:rFonts w:eastAsiaTheme="minorEastAsia" w:cstheme="minorBidi"/>
          <w:b w:val="0"/>
          <w:noProof/>
          <w:lang w:eastAsia="en-GB"/>
        </w:rPr>
      </w:pPr>
      <w:hyperlink w:anchor="_Toc185589611" w:history="1">
        <w:r w:rsidRPr="006C46A4">
          <w:rPr>
            <w:rStyle w:val="Hyperlink"/>
            <w:noProof/>
          </w:rPr>
          <w:t>8.</w:t>
        </w:r>
        <w:r>
          <w:rPr>
            <w:rFonts w:eastAsiaTheme="minorEastAsia" w:cstheme="minorBidi"/>
            <w:b w:val="0"/>
            <w:noProof/>
            <w:lang w:eastAsia="en-GB"/>
          </w:rPr>
          <w:tab/>
        </w:r>
        <w:r w:rsidRPr="006C46A4">
          <w:rPr>
            <w:rStyle w:val="Hyperlink"/>
            <w:noProof/>
          </w:rPr>
          <w:t>MME RELIED ON AS PROSECUTION EVIDENCE</w:t>
        </w:r>
        <w:r>
          <w:rPr>
            <w:noProof/>
            <w:webHidden/>
          </w:rPr>
          <w:tab/>
        </w:r>
        <w:r>
          <w:rPr>
            <w:noProof/>
            <w:webHidden/>
          </w:rPr>
          <w:fldChar w:fldCharType="begin"/>
        </w:r>
        <w:r>
          <w:rPr>
            <w:noProof/>
            <w:webHidden/>
          </w:rPr>
          <w:instrText xml:space="preserve"> PAGEREF _Toc185589611 \h </w:instrText>
        </w:r>
        <w:r>
          <w:rPr>
            <w:noProof/>
            <w:webHidden/>
          </w:rPr>
        </w:r>
        <w:r>
          <w:rPr>
            <w:noProof/>
            <w:webHidden/>
          </w:rPr>
          <w:fldChar w:fldCharType="separate"/>
        </w:r>
        <w:r w:rsidR="0035776A">
          <w:rPr>
            <w:noProof/>
            <w:webHidden/>
          </w:rPr>
          <w:t>8</w:t>
        </w:r>
        <w:r>
          <w:rPr>
            <w:noProof/>
            <w:webHidden/>
          </w:rPr>
          <w:fldChar w:fldCharType="end"/>
        </w:r>
      </w:hyperlink>
    </w:p>
    <w:p w:rsidR="00A82EAC" w:rsidRDefault="00A82EAC">
      <w:pPr>
        <w:pStyle w:val="TOC1"/>
        <w:tabs>
          <w:tab w:val="left" w:pos="440"/>
          <w:tab w:val="right" w:leader="dot" w:pos="10194"/>
        </w:tabs>
        <w:rPr>
          <w:rFonts w:eastAsiaTheme="minorEastAsia" w:cstheme="minorBidi"/>
          <w:b w:val="0"/>
          <w:noProof/>
          <w:lang w:eastAsia="en-GB"/>
        </w:rPr>
      </w:pPr>
      <w:hyperlink w:anchor="_Toc185589612" w:history="1">
        <w:r w:rsidRPr="006C46A4">
          <w:rPr>
            <w:rStyle w:val="Hyperlink"/>
            <w:noProof/>
          </w:rPr>
          <w:t>9.</w:t>
        </w:r>
        <w:r>
          <w:rPr>
            <w:rFonts w:eastAsiaTheme="minorEastAsia" w:cstheme="minorBidi"/>
            <w:b w:val="0"/>
            <w:noProof/>
            <w:lang w:eastAsia="en-GB"/>
          </w:rPr>
          <w:tab/>
        </w:r>
        <w:r w:rsidRPr="006C46A4">
          <w:rPr>
            <w:rStyle w:val="Hyperlink"/>
            <w:noProof/>
          </w:rPr>
          <w:t>MME THAT IS UNUSED MATERIAL</w:t>
        </w:r>
        <w:r>
          <w:rPr>
            <w:noProof/>
            <w:webHidden/>
          </w:rPr>
          <w:tab/>
        </w:r>
        <w:r>
          <w:rPr>
            <w:noProof/>
            <w:webHidden/>
          </w:rPr>
          <w:fldChar w:fldCharType="begin"/>
        </w:r>
        <w:r>
          <w:rPr>
            <w:noProof/>
            <w:webHidden/>
          </w:rPr>
          <w:instrText xml:space="preserve"> PAGEREF _Toc185589612 \h </w:instrText>
        </w:r>
        <w:r>
          <w:rPr>
            <w:noProof/>
            <w:webHidden/>
          </w:rPr>
        </w:r>
        <w:r>
          <w:rPr>
            <w:noProof/>
            <w:webHidden/>
          </w:rPr>
          <w:fldChar w:fldCharType="separate"/>
        </w:r>
        <w:r w:rsidR="0035776A">
          <w:rPr>
            <w:noProof/>
            <w:webHidden/>
          </w:rPr>
          <w:t>9</w:t>
        </w:r>
        <w:r>
          <w:rPr>
            <w:noProof/>
            <w:webHidden/>
          </w:rPr>
          <w:fldChar w:fldCharType="end"/>
        </w:r>
      </w:hyperlink>
    </w:p>
    <w:p w:rsidR="00A82EAC" w:rsidRDefault="00A82EAC">
      <w:pPr>
        <w:pStyle w:val="TOC1"/>
        <w:tabs>
          <w:tab w:val="left" w:pos="660"/>
          <w:tab w:val="right" w:leader="dot" w:pos="10194"/>
        </w:tabs>
        <w:rPr>
          <w:rFonts w:eastAsiaTheme="minorEastAsia" w:cstheme="minorBidi"/>
          <w:b w:val="0"/>
          <w:noProof/>
          <w:lang w:eastAsia="en-GB"/>
        </w:rPr>
      </w:pPr>
      <w:hyperlink w:anchor="_Toc185589613" w:history="1">
        <w:r w:rsidRPr="006C46A4">
          <w:rPr>
            <w:rStyle w:val="Hyperlink"/>
            <w:noProof/>
          </w:rPr>
          <w:t>10.</w:t>
        </w:r>
        <w:r>
          <w:rPr>
            <w:rFonts w:eastAsiaTheme="minorEastAsia" w:cstheme="minorBidi"/>
            <w:b w:val="0"/>
            <w:noProof/>
            <w:lang w:eastAsia="en-GB"/>
          </w:rPr>
          <w:tab/>
        </w:r>
        <w:r w:rsidRPr="006C46A4">
          <w:rPr>
            <w:rStyle w:val="Hyperlink"/>
            <w:noProof/>
          </w:rPr>
          <w:t>REVIEW OF MME BY CPS</w:t>
        </w:r>
        <w:r>
          <w:rPr>
            <w:noProof/>
            <w:webHidden/>
          </w:rPr>
          <w:tab/>
        </w:r>
        <w:r>
          <w:rPr>
            <w:noProof/>
            <w:webHidden/>
          </w:rPr>
          <w:fldChar w:fldCharType="begin"/>
        </w:r>
        <w:r>
          <w:rPr>
            <w:noProof/>
            <w:webHidden/>
          </w:rPr>
          <w:instrText xml:space="preserve"> PAGEREF _Toc185589613 \h </w:instrText>
        </w:r>
        <w:r>
          <w:rPr>
            <w:noProof/>
            <w:webHidden/>
          </w:rPr>
        </w:r>
        <w:r>
          <w:rPr>
            <w:noProof/>
            <w:webHidden/>
          </w:rPr>
          <w:fldChar w:fldCharType="separate"/>
        </w:r>
        <w:r w:rsidR="0035776A">
          <w:rPr>
            <w:noProof/>
            <w:webHidden/>
          </w:rPr>
          <w:t>9</w:t>
        </w:r>
        <w:r>
          <w:rPr>
            <w:noProof/>
            <w:webHidden/>
          </w:rPr>
          <w:fldChar w:fldCharType="end"/>
        </w:r>
      </w:hyperlink>
    </w:p>
    <w:p w:rsidR="00A82EAC" w:rsidRDefault="00A82EAC">
      <w:pPr>
        <w:pStyle w:val="TOC1"/>
        <w:tabs>
          <w:tab w:val="left" w:pos="660"/>
          <w:tab w:val="right" w:leader="dot" w:pos="10194"/>
        </w:tabs>
        <w:rPr>
          <w:rFonts w:eastAsiaTheme="minorEastAsia" w:cstheme="minorBidi"/>
          <w:b w:val="0"/>
          <w:noProof/>
          <w:lang w:eastAsia="en-GB"/>
        </w:rPr>
      </w:pPr>
      <w:hyperlink w:anchor="_Toc185589614" w:history="1">
        <w:r w:rsidRPr="006C46A4">
          <w:rPr>
            <w:rStyle w:val="Hyperlink"/>
            <w:noProof/>
          </w:rPr>
          <w:t>11.</w:t>
        </w:r>
        <w:r>
          <w:rPr>
            <w:rFonts w:eastAsiaTheme="minorEastAsia" w:cstheme="minorBidi"/>
            <w:b w:val="0"/>
            <w:noProof/>
            <w:lang w:eastAsia="en-GB"/>
          </w:rPr>
          <w:tab/>
        </w:r>
        <w:r w:rsidRPr="006C46A4">
          <w:rPr>
            <w:rStyle w:val="Hyperlink"/>
            <w:noProof/>
          </w:rPr>
          <w:t>SHARING THE MME WITH THE CJS</w:t>
        </w:r>
        <w:r>
          <w:rPr>
            <w:noProof/>
            <w:webHidden/>
          </w:rPr>
          <w:tab/>
        </w:r>
        <w:r>
          <w:rPr>
            <w:noProof/>
            <w:webHidden/>
          </w:rPr>
          <w:fldChar w:fldCharType="begin"/>
        </w:r>
        <w:r>
          <w:rPr>
            <w:noProof/>
            <w:webHidden/>
          </w:rPr>
          <w:instrText xml:space="preserve"> PAGEREF _Toc185589614 \h </w:instrText>
        </w:r>
        <w:r>
          <w:rPr>
            <w:noProof/>
            <w:webHidden/>
          </w:rPr>
        </w:r>
        <w:r>
          <w:rPr>
            <w:noProof/>
            <w:webHidden/>
          </w:rPr>
          <w:fldChar w:fldCharType="separate"/>
        </w:r>
        <w:r w:rsidR="0035776A">
          <w:rPr>
            <w:noProof/>
            <w:webHidden/>
          </w:rPr>
          <w:t>10</w:t>
        </w:r>
        <w:r>
          <w:rPr>
            <w:noProof/>
            <w:webHidden/>
          </w:rPr>
          <w:fldChar w:fldCharType="end"/>
        </w:r>
      </w:hyperlink>
    </w:p>
    <w:p w:rsidR="00A82EAC" w:rsidRDefault="00A82EAC">
      <w:pPr>
        <w:pStyle w:val="TOC1"/>
        <w:tabs>
          <w:tab w:val="left" w:pos="660"/>
          <w:tab w:val="right" w:leader="dot" w:pos="10194"/>
        </w:tabs>
        <w:rPr>
          <w:rFonts w:eastAsiaTheme="minorEastAsia" w:cstheme="minorBidi"/>
          <w:b w:val="0"/>
          <w:noProof/>
          <w:lang w:eastAsia="en-GB"/>
        </w:rPr>
      </w:pPr>
      <w:hyperlink w:anchor="_Toc185589615" w:history="1">
        <w:r w:rsidRPr="006C46A4">
          <w:rPr>
            <w:rStyle w:val="Hyperlink"/>
            <w:noProof/>
          </w:rPr>
          <w:t>12.</w:t>
        </w:r>
        <w:r>
          <w:rPr>
            <w:rFonts w:eastAsiaTheme="minorEastAsia" w:cstheme="minorBidi"/>
            <w:b w:val="0"/>
            <w:noProof/>
            <w:lang w:eastAsia="en-GB"/>
          </w:rPr>
          <w:tab/>
        </w:r>
        <w:r w:rsidRPr="006C46A4">
          <w:rPr>
            <w:rStyle w:val="Hyperlink"/>
            <w:noProof/>
          </w:rPr>
          <w:t>Annex 1: Data Controller Responsibilities</w:t>
        </w:r>
        <w:r>
          <w:rPr>
            <w:noProof/>
            <w:webHidden/>
          </w:rPr>
          <w:tab/>
        </w:r>
        <w:r>
          <w:rPr>
            <w:noProof/>
            <w:webHidden/>
          </w:rPr>
          <w:fldChar w:fldCharType="begin"/>
        </w:r>
        <w:r>
          <w:rPr>
            <w:noProof/>
            <w:webHidden/>
          </w:rPr>
          <w:instrText xml:space="preserve"> PAGEREF _Toc185589615 \h </w:instrText>
        </w:r>
        <w:r>
          <w:rPr>
            <w:noProof/>
            <w:webHidden/>
          </w:rPr>
        </w:r>
        <w:r>
          <w:rPr>
            <w:noProof/>
            <w:webHidden/>
          </w:rPr>
          <w:fldChar w:fldCharType="separate"/>
        </w:r>
        <w:r w:rsidR="0035776A">
          <w:rPr>
            <w:noProof/>
            <w:webHidden/>
          </w:rPr>
          <w:t>11</w:t>
        </w:r>
        <w:r>
          <w:rPr>
            <w:noProof/>
            <w:webHidden/>
          </w:rPr>
          <w:fldChar w:fldCharType="end"/>
        </w:r>
      </w:hyperlink>
    </w:p>
    <w:p w:rsidR="00A82EAC" w:rsidRDefault="00A82EAC">
      <w:pPr>
        <w:pStyle w:val="TOC1"/>
        <w:tabs>
          <w:tab w:val="left" w:pos="660"/>
          <w:tab w:val="right" w:leader="dot" w:pos="10194"/>
        </w:tabs>
        <w:rPr>
          <w:rFonts w:eastAsiaTheme="minorEastAsia" w:cstheme="minorBidi"/>
          <w:b w:val="0"/>
          <w:noProof/>
          <w:lang w:eastAsia="en-GB"/>
        </w:rPr>
      </w:pPr>
      <w:hyperlink w:anchor="_Toc185589616" w:history="1">
        <w:r w:rsidRPr="006C46A4">
          <w:rPr>
            <w:rStyle w:val="Hyperlink"/>
            <w:noProof/>
          </w:rPr>
          <w:t>13.</w:t>
        </w:r>
        <w:r>
          <w:rPr>
            <w:rFonts w:eastAsiaTheme="minorEastAsia" w:cstheme="minorBidi"/>
            <w:b w:val="0"/>
            <w:noProof/>
            <w:lang w:eastAsia="en-GB"/>
          </w:rPr>
          <w:tab/>
        </w:r>
        <w:r w:rsidRPr="006C46A4">
          <w:rPr>
            <w:rStyle w:val="Hyperlink"/>
            <w:noProof/>
          </w:rPr>
          <w:t>Annex 2: MME Blueprint</w:t>
        </w:r>
        <w:r>
          <w:rPr>
            <w:noProof/>
            <w:webHidden/>
          </w:rPr>
          <w:tab/>
        </w:r>
        <w:r>
          <w:rPr>
            <w:noProof/>
            <w:webHidden/>
          </w:rPr>
          <w:fldChar w:fldCharType="begin"/>
        </w:r>
        <w:r>
          <w:rPr>
            <w:noProof/>
            <w:webHidden/>
          </w:rPr>
          <w:instrText xml:space="preserve"> PAGEREF _Toc185589616 \h </w:instrText>
        </w:r>
        <w:r>
          <w:rPr>
            <w:noProof/>
            <w:webHidden/>
          </w:rPr>
        </w:r>
        <w:r>
          <w:rPr>
            <w:noProof/>
            <w:webHidden/>
          </w:rPr>
          <w:fldChar w:fldCharType="separate"/>
        </w:r>
        <w:r w:rsidR="0035776A">
          <w:rPr>
            <w:noProof/>
            <w:webHidden/>
          </w:rPr>
          <w:t>12</w:t>
        </w:r>
        <w:r>
          <w:rPr>
            <w:noProof/>
            <w:webHidden/>
          </w:rPr>
          <w:fldChar w:fldCharType="end"/>
        </w:r>
      </w:hyperlink>
    </w:p>
    <w:p w:rsidR="00A82EAC" w:rsidRDefault="00A82EAC">
      <w:pPr>
        <w:pStyle w:val="TOC1"/>
        <w:tabs>
          <w:tab w:val="left" w:pos="660"/>
          <w:tab w:val="right" w:leader="dot" w:pos="10194"/>
        </w:tabs>
        <w:rPr>
          <w:rFonts w:eastAsiaTheme="minorEastAsia" w:cstheme="minorBidi"/>
          <w:b w:val="0"/>
          <w:noProof/>
          <w:lang w:eastAsia="en-GB"/>
        </w:rPr>
      </w:pPr>
      <w:hyperlink w:anchor="_Toc185589617" w:history="1">
        <w:r w:rsidRPr="006C46A4">
          <w:rPr>
            <w:rStyle w:val="Hyperlink"/>
            <w:noProof/>
          </w:rPr>
          <w:t>14.</w:t>
        </w:r>
        <w:r>
          <w:rPr>
            <w:rFonts w:eastAsiaTheme="minorEastAsia" w:cstheme="minorBidi"/>
            <w:b w:val="0"/>
            <w:noProof/>
            <w:lang w:eastAsia="en-GB"/>
          </w:rPr>
          <w:tab/>
        </w:r>
        <w:r w:rsidRPr="006C46A4">
          <w:rPr>
            <w:rStyle w:val="Hyperlink"/>
            <w:noProof/>
          </w:rPr>
          <w:t>Annex 3: Photographic Principles*</w:t>
        </w:r>
        <w:r>
          <w:rPr>
            <w:noProof/>
            <w:webHidden/>
          </w:rPr>
          <w:tab/>
        </w:r>
        <w:r>
          <w:rPr>
            <w:noProof/>
            <w:webHidden/>
          </w:rPr>
          <w:fldChar w:fldCharType="begin"/>
        </w:r>
        <w:r>
          <w:rPr>
            <w:noProof/>
            <w:webHidden/>
          </w:rPr>
          <w:instrText xml:space="preserve"> PAGEREF _Toc185589617 \h </w:instrText>
        </w:r>
        <w:r>
          <w:rPr>
            <w:noProof/>
            <w:webHidden/>
          </w:rPr>
        </w:r>
        <w:r>
          <w:rPr>
            <w:noProof/>
            <w:webHidden/>
          </w:rPr>
          <w:fldChar w:fldCharType="separate"/>
        </w:r>
        <w:r w:rsidR="0035776A">
          <w:rPr>
            <w:noProof/>
            <w:webHidden/>
          </w:rPr>
          <w:t>15</w:t>
        </w:r>
        <w:r>
          <w:rPr>
            <w:noProof/>
            <w:webHidden/>
          </w:rPr>
          <w:fldChar w:fldCharType="end"/>
        </w:r>
      </w:hyperlink>
    </w:p>
    <w:p w:rsidR="00A82EAC" w:rsidRDefault="00A82EAC">
      <w:pPr>
        <w:pStyle w:val="TOC1"/>
        <w:tabs>
          <w:tab w:val="left" w:pos="660"/>
          <w:tab w:val="right" w:leader="dot" w:pos="10194"/>
        </w:tabs>
        <w:rPr>
          <w:rFonts w:eastAsiaTheme="minorEastAsia" w:cstheme="minorBidi"/>
          <w:b w:val="0"/>
          <w:noProof/>
          <w:lang w:eastAsia="en-GB"/>
        </w:rPr>
      </w:pPr>
      <w:hyperlink w:anchor="_Toc185589618" w:history="1">
        <w:r w:rsidRPr="006C46A4">
          <w:rPr>
            <w:rStyle w:val="Hyperlink"/>
            <w:noProof/>
          </w:rPr>
          <w:t>15.</w:t>
        </w:r>
        <w:r>
          <w:rPr>
            <w:rFonts w:eastAsiaTheme="minorEastAsia" w:cstheme="minorBidi"/>
            <w:b w:val="0"/>
            <w:noProof/>
            <w:lang w:eastAsia="en-GB"/>
          </w:rPr>
          <w:tab/>
        </w:r>
        <w:r w:rsidRPr="006C46A4">
          <w:rPr>
            <w:rStyle w:val="Hyperlink"/>
            <w:noProof/>
          </w:rPr>
          <w:t xml:space="preserve">Annex 4: </w:t>
        </w:r>
        <w:r w:rsidRPr="006C46A4">
          <w:rPr>
            <w:rStyle w:val="Hyperlink"/>
            <w:rFonts w:cstheme="minorHAnsi"/>
            <w:noProof/>
          </w:rPr>
          <w:t>NPCC forces of England and Wales</w:t>
        </w:r>
        <w:r>
          <w:rPr>
            <w:noProof/>
            <w:webHidden/>
          </w:rPr>
          <w:tab/>
        </w:r>
        <w:r>
          <w:rPr>
            <w:noProof/>
            <w:webHidden/>
          </w:rPr>
          <w:fldChar w:fldCharType="begin"/>
        </w:r>
        <w:r>
          <w:rPr>
            <w:noProof/>
            <w:webHidden/>
          </w:rPr>
          <w:instrText xml:space="preserve"> PAGEREF _Toc185589618 \h </w:instrText>
        </w:r>
        <w:r>
          <w:rPr>
            <w:noProof/>
            <w:webHidden/>
          </w:rPr>
        </w:r>
        <w:r>
          <w:rPr>
            <w:noProof/>
            <w:webHidden/>
          </w:rPr>
          <w:fldChar w:fldCharType="separate"/>
        </w:r>
        <w:r w:rsidR="0035776A">
          <w:rPr>
            <w:noProof/>
            <w:webHidden/>
          </w:rPr>
          <w:t>20</w:t>
        </w:r>
        <w:r>
          <w:rPr>
            <w:noProof/>
            <w:webHidden/>
          </w:rPr>
          <w:fldChar w:fldCharType="end"/>
        </w:r>
      </w:hyperlink>
    </w:p>
    <w:p w:rsidR="00990E34" w:rsidRDefault="00AB3D26" w:rsidP="002C0CD4">
      <w:pPr>
        <w:rPr>
          <w:rFonts w:asciiTheme="minorHAnsi" w:hAnsiTheme="minorHAnsi" w:cs="Tahoma"/>
          <w:b/>
          <w:sz w:val="18"/>
          <w:szCs w:val="18"/>
        </w:rPr>
      </w:pPr>
      <w:r>
        <w:rPr>
          <w:rFonts w:asciiTheme="minorHAnsi" w:hAnsiTheme="minorHAnsi" w:cs="Tahoma"/>
          <w:b/>
          <w:sz w:val="18"/>
          <w:szCs w:val="18"/>
        </w:rPr>
        <w:fldChar w:fldCharType="end"/>
      </w:r>
    </w:p>
    <w:p w:rsidR="00990E34" w:rsidRDefault="00990E34" w:rsidP="002C0CD4">
      <w:pPr>
        <w:rPr>
          <w:rFonts w:asciiTheme="minorHAnsi" w:hAnsiTheme="minorHAnsi" w:cs="Tahoma"/>
          <w:b/>
          <w:sz w:val="18"/>
          <w:szCs w:val="18"/>
        </w:rPr>
      </w:pPr>
    </w:p>
    <w:p w:rsidR="00987F29" w:rsidRDefault="00987F29" w:rsidP="000365BB">
      <w:pPr>
        <w:pStyle w:val="Heading3"/>
        <w:rPr>
          <w:rFonts w:asciiTheme="minorHAnsi" w:hAnsiTheme="minorHAnsi" w:cs="Tahoma"/>
          <w:b/>
        </w:rPr>
      </w:pPr>
    </w:p>
    <w:p w:rsidR="000365BB" w:rsidRDefault="000365BB" w:rsidP="000365BB"/>
    <w:p w:rsidR="000365BB" w:rsidRDefault="000365BB" w:rsidP="000365BB"/>
    <w:p w:rsidR="000365BB" w:rsidRDefault="000365BB" w:rsidP="000365BB"/>
    <w:p w:rsidR="000365BB" w:rsidRDefault="000365BB" w:rsidP="000365BB"/>
    <w:p w:rsidR="000365BB" w:rsidRDefault="000365BB" w:rsidP="000365BB"/>
    <w:p w:rsidR="000365BB" w:rsidRDefault="000365BB" w:rsidP="000365BB"/>
    <w:p w:rsidR="000365BB" w:rsidRDefault="000365BB" w:rsidP="000365BB"/>
    <w:p w:rsidR="000365BB" w:rsidRDefault="000365BB" w:rsidP="000365BB"/>
    <w:p w:rsidR="000365BB" w:rsidRDefault="000365BB" w:rsidP="000365BB"/>
    <w:p w:rsidR="000365BB" w:rsidRDefault="000365BB" w:rsidP="000365BB"/>
    <w:p w:rsidR="000365BB" w:rsidRDefault="000365BB" w:rsidP="000365BB"/>
    <w:p w:rsidR="000365BB" w:rsidRDefault="000365BB" w:rsidP="000365BB"/>
    <w:p w:rsidR="000365BB" w:rsidRDefault="000365BB" w:rsidP="000365BB"/>
    <w:p w:rsidR="000365BB" w:rsidRDefault="000365BB" w:rsidP="000365BB"/>
    <w:p w:rsidR="000365BB" w:rsidRDefault="000365BB" w:rsidP="000365BB"/>
    <w:p w:rsidR="000365BB" w:rsidRDefault="000365BB" w:rsidP="000365BB"/>
    <w:p w:rsidR="000365BB" w:rsidRDefault="000365BB" w:rsidP="000365BB"/>
    <w:p w:rsidR="000365BB" w:rsidRDefault="000365BB" w:rsidP="000365BB"/>
    <w:p w:rsidR="000365BB" w:rsidRDefault="000365BB" w:rsidP="000365BB"/>
    <w:p w:rsidR="000365BB" w:rsidRDefault="000365BB" w:rsidP="000365BB"/>
    <w:p w:rsidR="000365BB" w:rsidRDefault="000365BB" w:rsidP="000365BB"/>
    <w:p w:rsidR="000365BB" w:rsidRPr="000365BB" w:rsidRDefault="000365BB" w:rsidP="000365BB"/>
    <w:p w:rsidR="002D06E6" w:rsidRPr="0088207E" w:rsidRDefault="002D06E6" w:rsidP="0088207E">
      <w:pPr>
        <w:pStyle w:val="Heading1"/>
        <w:rPr>
          <w:lang w:bidi="en-US"/>
        </w:rPr>
      </w:pPr>
      <w:bookmarkStart w:id="0" w:name="_Toc185589604"/>
      <w:r w:rsidRPr="0088207E">
        <w:t xml:space="preserve">PURPOSE AND SCOPE OF THE </w:t>
      </w:r>
      <w:r w:rsidR="002119A3">
        <w:t>MEMORANDUM OF UNDERSTANDING</w:t>
      </w:r>
      <w:bookmarkEnd w:id="0"/>
    </w:p>
    <w:p w:rsidR="002D06E6" w:rsidRPr="002D06E6" w:rsidRDefault="002D06E6" w:rsidP="002D06E6">
      <w:pPr>
        <w:pStyle w:val="ListParagraph"/>
        <w:overflowPunct w:val="0"/>
        <w:autoSpaceDE w:val="0"/>
        <w:autoSpaceDN w:val="0"/>
        <w:adjustRightInd w:val="0"/>
        <w:spacing w:before="120" w:after="120"/>
        <w:jc w:val="both"/>
        <w:textAlignment w:val="baseline"/>
        <w:rPr>
          <w:rFonts w:asciiTheme="minorHAnsi" w:hAnsiTheme="minorHAnsi" w:cs="Tahoma"/>
          <w:lang w:val="en-US" w:bidi="en-US"/>
        </w:rPr>
      </w:pPr>
    </w:p>
    <w:p w:rsidR="002D06E6" w:rsidRPr="002D06E6" w:rsidRDefault="002D06E6" w:rsidP="00541CF5">
      <w:pPr>
        <w:pStyle w:val="ListParagraph"/>
        <w:numPr>
          <w:ilvl w:val="1"/>
          <w:numId w:val="16"/>
        </w:numPr>
        <w:overflowPunct w:val="0"/>
        <w:autoSpaceDE w:val="0"/>
        <w:autoSpaceDN w:val="0"/>
        <w:adjustRightInd w:val="0"/>
        <w:spacing w:before="120" w:after="120"/>
        <w:textAlignment w:val="baseline"/>
        <w:rPr>
          <w:rFonts w:asciiTheme="minorHAnsi" w:hAnsiTheme="minorHAnsi" w:cs="Tahoma"/>
          <w:lang w:val="en-US" w:bidi="en-US"/>
        </w:rPr>
      </w:pPr>
      <w:r w:rsidRPr="002D06E6">
        <w:rPr>
          <w:rFonts w:asciiTheme="minorHAnsi" w:hAnsiTheme="minorHAnsi" w:cs="Tahoma"/>
          <w:lang w:val="en-US" w:bidi="en-US"/>
        </w:rPr>
        <w:t xml:space="preserve">The purpose of this </w:t>
      </w:r>
      <w:r w:rsidR="002119A3">
        <w:rPr>
          <w:rFonts w:asciiTheme="minorHAnsi" w:hAnsiTheme="minorHAnsi" w:cs="Tahoma"/>
          <w:lang w:val="en-US" w:bidi="en-US"/>
        </w:rPr>
        <w:t>Memorandum of Understanding</w:t>
      </w:r>
      <w:r w:rsidRPr="002D06E6">
        <w:rPr>
          <w:rFonts w:asciiTheme="minorHAnsi" w:hAnsiTheme="minorHAnsi" w:cs="Tahoma"/>
          <w:lang w:val="en-US" w:bidi="en-US"/>
        </w:rPr>
        <w:t>(</w:t>
      </w:r>
      <w:r w:rsidRPr="0042023D">
        <w:rPr>
          <w:rFonts w:asciiTheme="minorHAnsi" w:hAnsiTheme="minorHAnsi" w:cs="Tahoma"/>
          <w:b/>
          <w:bCs/>
          <w:lang w:val="en-US" w:bidi="en-US"/>
        </w:rPr>
        <w:t>“</w:t>
      </w:r>
      <w:r w:rsidR="002119A3">
        <w:rPr>
          <w:rFonts w:asciiTheme="minorHAnsi" w:hAnsiTheme="minorHAnsi" w:cs="Tahoma"/>
          <w:b/>
          <w:bCs/>
          <w:lang w:val="en-US" w:bidi="en-US"/>
        </w:rPr>
        <w:t>MOU</w:t>
      </w:r>
      <w:r w:rsidRPr="0042023D">
        <w:rPr>
          <w:rFonts w:asciiTheme="minorHAnsi" w:hAnsiTheme="minorHAnsi" w:cs="Tahoma"/>
          <w:b/>
          <w:bCs/>
          <w:lang w:val="en-US" w:bidi="en-US"/>
        </w:rPr>
        <w:t>”</w:t>
      </w:r>
      <w:r w:rsidRPr="002D06E6">
        <w:rPr>
          <w:rFonts w:asciiTheme="minorHAnsi" w:hAnsiTheme="minorHAnsi" w:cs="Tahoma"/>
          <w:lang w:val="en-US" w:bidi="en-US"/>
        </w:rPr>
        <w:t>) is to detail the arrangements in place to enable the efficient sharing of multimedia evidence (</w:t>
      </w:r>
      <w:r w:rsidRPr="0042023D">
        <w:rPr>
          <w:rFonts w:asciiTheme="minorHAnsi" w:hAnsiTheme="minorHAnsi" w:cs="Tahoma"/>
          <w:b/>
          <w:bCs/>
          <w:lang w:val="en-US" w:bidi="en-US"/>
        </w:rPr>
        <w:t>“MME”</w:t>
      </w:r>
      <w:r w:rsidRPr="002D06E6">
        <w:rPr>
          <w:rFonts w:asciiTheme="minorHAnsi" w:hAnsiTheme="minorHAnsi" w:cs="Tahoma"/>
          <w:lang w:val="en-US" w:bidi="en-US"/>
        </w:rPr>
        <w:t>) by the Relevant Police Force to the CPS via the relevant Digital Evidence Management System Link (</w:t>
      </w:r>
      <w:r w:rsidRPr="0042023D">
        <w:rPr>
          <w:rFonts w:asciiTheme="minorHAnsi" w:hAnsiTheme="minorHAnsi" w:cs="Tahoma"/>
          <w:b/>
          <w:bCs/>
          <w:lang w:val="en-US" w:bidi="en-US"/>
        </w:rPr>
        <w:t>“DEMS”</w:t>
      </w:r>
      <w:r w:rsidRPr="002D06E6">
        <w:rPr>
          <w:rFonts w:asciiTheme="minorHAnsi" w:hAnsiTheme="minorHAnsi" w:cs="Tahoma"/>
          <w:lang w:val="en-US" w:bidi="en-US"/>
        </w:rPr>
        <w:t>).</w:t>
      </w:r>
      <w:r>
        <w:rPr>
          <w:rFonts w:asciiTheme="minorHAnsi" w:hAnsiTheme="minorHAnsi" w:cs="Tahoma"/>
          <w:lang w:val="en-US" w:bidi="en-US"/>
        </w:rPr>
        <w:br/>
      </w:r>
    </w:p>
    <w:p w:rsidR="002D06E6" w:rsidRPr="002D06E6" w:rsidRDefault="002D06E6" w:rsidP="00541CF5">
      <w:pPr>
        <w:pStyle w:val="ListParagraph"/>
        <w:numPr>
          <w:ilvl w:val="1"/>
          <w:numId w:val="16"/>
        </w:numPr>
        <w:spacing w:before="120"/>
        <w:rPr>
          <w:rFonts w:asciiTheme="minorHAnsi" w:hAnsiTheme="minorHAnsi" w:cs="Tahoma"/>
          <w:lang w:val="en-US" w:bidi="en-US"/>
        </w:rPr>
      </w:pPr>
      <w:r w:rsidRPr="002D06E6">
        <w:rPr>
          <w:rFonts w:asciiTheme="minorHAnsi" w:hAnsiTheme="minorHAnsi" w:cs="Tahoma"/>
          <w:lang w:val="en-US" w:bidi="en-US"/>
        </w:rPr>
        <w:t xml:space="preserve">This </w:t>
      </w:r>
      <w:r w:rsidR="002119A3">
        <w:rPr>
          <w:rFonts w:asciiTheme="minorHAnsi" w:hAnsiTheme="minorHAnsi" w:cs="Tahoma"/>
          <w:lang w:val="en-US" w:bidi="en-US"/>
        </w:rPr>
        <w:t>MOU</w:t>
      </w:r>
      <w:r w:rsidRPr="002D06E6">
        <w:rPr>
          <w:rFonts w:asciiTheme="minorHAnsi" w:hAnsiTheme="minorHAnsi" w:cs="Tahoma"/>
          <w:lang w:val="en-US" w:bidi="en-US"/>
        </w:rPr>
        <w:t xml:space="preserve"> supports and underpins the existing arrangements in place between the CPS and the Relevant Police Force for the provision of evidential and disclosable unused material and sets out the expected level of service to be provided by both the CPS and Relevant Police Force in relation to the sharing of MME via DEMS.</w:t>
      </w:r>
      <w:r w:rsidRPr="002D06E6">
        <w:rPr>
          <w:rFonts w:asciiTheme="minorHAnsi" w:hAnsiTheme="minorHAnsi" w:cs="Tahoma"/>
          <w:lang w:val="en-US" w:bidi="en-US"/>
        </w:rPr>
        <w:br/>
      </w:r>
    </w:p>
    <w:p w:rsidR="00D4486E" w:rsidRDefault="002D06E6" w:rsidP="002119A3">
      <w:pPr>
        <w:pStyle w:val="ListParagraph"/>
        <w:numPr>
          <w:ilvl w:val="1"/>
          <w:numId w:val="16"/>
        </w:numPr>
        <w:spacing w:before="120"/>
        <w:ind w:left="884"/>
        <w:rPr>
          <w:rFonts w:asciiTheme="minorHAnsi" w:hAnsiTheme="minorHAnsi" w:cs="Tahoma"/>
          <w:lang w:val="en-US" w:bidi="en-US"/>
        </w:rPr>
      </w:pPr>
      <w:r w:rsidRPr="002D06E6">
        <w:rPr>
          <w:rFonts w:asciiTheme="minorHAnsi" w:hAnsiTheme="minorHAnsi" w:cs="Tahoma"/>
          <w:lang w:val="en-US" w:bidi="en-US"/>
        </w:rPr>
        <w:t xml:space="preserve">The </w:t>
      </w:r>
      <w:r w:rsidR="002119A3">
        <w:rPr>
          <w:rFonts w:asciiTheme="minorHAnsi" w:hAnsiTheme="minorHAnsi" w:cs="Tahoma"/>
          <w:lang w:val="en-US" w:bidi="en-US"/>
        </w:rPr>
        <w:t>MOU</w:t>
      </w:r>
      <w:r w:rsidRPr="002D06E6">
        <w:rPr>
          <w:rFonts w:asciiTheme="minorHAnsi" w:hAnsiTheme="minorHAnsi" w:cs="Tahoma"/>
          <w:lang w:val="en-US" w:bidi="en-US"/>
        </w:rPr>
        <w:t xml:space="preserve"> is intended to cover all forms of MME that may be shared via DEMS including, but is not limited to, Body Worn Video (BWV), 999 calls, Achieving Best Evidence Video Recorded Interviews, CCTV, still image photobooks and other third-party video material, such as dashcam footage. This </w:t>
      </w:r>
      <w:r w:rsidR="002119A3">
        <w:rPr>
          <w:rFonts w:asciiTheme="minorHAnsi" w:hAnsiTheme="minorHAnsi" w:cs="Tahoma"/>
          <w:lang w:val="en-US" w:bidi="en-US"/>
        </w:rPr>
        <w:t>MOU</w:t>
      </w:r>
      <w:r w:rsidR="002119A3" w:rsidRPr="002D06E6">
        <w:rPr>
          <w:rFonts w:asciiTheme="minorHAnsi" w:hAnsiTheme="minorHAnsi" w:cs="Tahoma"/>
          <w:lang w:val="en-US" w:bidi="en-US"/>
        </w:rPr>
        <w:t xml:space="preserve"> </w:t>
      </w:r>
      <w:r w:rsidRPr="002D06E6">
        <w:rPr>
          <w:rFonts w:asciiTheme="minorHAnsi" w:hAnsiTheme="minorHAnsi" w:cs="Tahoma"/>
          <w:lang w:val="en-US" w:bidi="en-US"/>
        </w:rPr>
        <w:t xml:space="preserve">is supplementary to any relevant formal guidance or framework relating to MME that has been issued by the UK government, the College of </w:t>
      </w:r>
      <w:r w:rsidR="00D81B56" w:rsidRPr="002D06E6">
        <w:rPr>
          <w:rFonts w:asciiTheme="minorHAnsi" w:hAnsiTheme="minorHAnsi" w:cs="Tahoma"/>
          <w:lang w:val="en-US" w:bidi="en-US"/>
        </w:rPr>
        <w:t>Policing,</w:t>
      </w:r>
      <w:r w:rsidRPr="002D06E6">
        <w:rPr>
          <w:rFonts w:asciiTheme="minorHAnsi" w:hAnsiTheme="minorHAnsi" w:cs="Tahoma"/>
          <w:lang w:val="en-US" w:bidi="en-US"/>
        </w:rPr>
        <w:t xml:space="preserve"> or the National Police Chiefs’ Council (or similar) (for example, the National Police Chiefs’ Council October 2022) and does not replace any such guidance. To the extent that there is any conflict between this </w:t>
      </w:r>
      <w:r w:rsidR="002119A3">
        <w:rPr>
          <w:rFonts w:asciiTheme="minorHAnsi" w:hAnsiTheme="minorHAnsi" w:cs="Tahoma"/>
          <w:lang w:val="en-US" w:bidi="en-US"/>
        </w:rPr>
        <w:t>MOU</w:t>
      </w:r>
      <w:r w:rsidR="002119A3" w:rsidRPr="002D06E6">
        <w:rPr>
          <w:rFonts w:asciiTheme="minorHAnsi" w:hAnsiTheme="minorHAnsi" w:cs="Tahoma"/>
          <w:lang w:val="en-US" w:bidi="en-US"/>
        </w:rPr>
        <w:t xml:space="preserve"> </w:t>
      </w:r>
      <w:r w:rsidRPr="002D06E6">
        <w:rPr>
          <w:rFonts w:asciiTheme="minorHAnsi" w:hAnsiTheme="minorHAnsi" w:cs="Tahoma"/>
          <w:lang w:val="en-US" w:bidi="en-US"/>
        </w:rPr>
        <w:t>and any such guidance or framework, that guidance or framework will take precedence.</w:t>
      </w:r>
    </w:p>
    <w:p w:rsidR="00D4486E" w:rsidRDefault="00D4486E" w:rsidP="00D4486E">
      <w:pPr>
        <w:pStyle w:val="ListParagraph"/>
        <w:spacing w:before="120"/>
        <w:ind w:left="792"/>
        <w:rPr>
          <w:rFonts w:asciiTheme="minorHAnsi" w:hAnsiTheme="minorHAnsi" w:cs="Tahoma"/>
          <w:lang w:val="en-US" w:bidi="en-US"/>
        </w:rPr>
      </w:pPr>
    </w:p>
    <w:p w:rsidR="002D06E6" w:rsidRPr="00D4486E" w:rsidRDefault="002D06E6" w:rsidP="00D4486E">
      <w:pPr>
        <w:pStyle w:val="ListParagraph"/>
        <w:numPr>
          <w:ilvl w:val="1"/>
          <w:numId w:val="16"/>
        </w:numPr>
        <w:spacing w:before="120"/>
        <w:rPr>
          <w:rFonts w:asciiTheme="minorHAnsi" w:hAnsiTheme="minorHAnsi" w:cs="Tahoma"/>
          <w:lang w:val="en-US" w:bidi="en-US"/>
        </w:rPr>
      </w:pPr>
      <w:r w:rsidRPr="00D4486E">
        <w:rPr>
          <w:rFonts w:asciiTheme="minorHAnsi" w:hAnsiTheme="minorHAnsi" w:cs="Tahoma"/>
          <w:lang w:val="en-US" w:bidi="en-US"/>
        </w:rPr>
        <w:t xml:space="preserve">This </w:t>
      </w:r>
      <w:r w:rsidR="002119A3">
        <w:rPr>
          <w:rFonts w:asciiTheme="minorHAnsi" w:hAnsiTheme="minorHAnsi" w:cs="Tahoma"/>
          <w:lang w:val="en-US" w:bidi="en-US"/>
        </w:rPr>
        <w:t>MOU</w:t>
      </w:r>
      <w:r w:rsidR="002119A3" w:rsidRPr="00D4486E">
        <w:rPr>
          <w:rFonts w:asciiTheme="minorHAnsi" w:hAnsiTheme="minorHAnsi" w:cs="Tahoma"/>
          <w:lang w:val="en-US" w:bidi="en-US"/>
        </w:rPr>
        <w:t xml:space="preserve"> </w:t>
      </w:r>
      <w:r w:rsidRPr="00D4486E">
        <w:rPr>
          <w:rFonts w:asciiTheme="minorHAnsi" w:hAnsiTheme="minorHAnsi" w:cs="Tahoma"/>
          <w:lang w:val="en-US" w:bidi="en-US"/>
        </w:rPr>
        <w:t>should be read in conjunction with Annex 1 (Data Controller flow chart), Annex 2 (MME Blueprint) and Annex 3 (Photographic Principles).</w:t>
      </w:r>
    </w:p>
    <w:p w:rsidR="002D06E6" w:rsidRPr="002D06E6" w:rsidRDefault="002D06E6" w:rsidP="002D06E6">
      <w:pPr>
        <w:spacing w:after="160" w:line="259" w:lineRule="auto"/>
        <w:rPr>
          <w:rFonts w:ascii="Calibri" w:eastAsia="Calibri" w:hAnsi="Calibri"/>
          <w:sz w:val="24"/>
          <w:szCs w:val="24"/>
        </w:rPr>
      </w:pPr>
      <w:r w:rsidRPr="002D06E6">
        <w:rPr>
          <w:rFonts w:ascii="Calibri" w:eastAsia="Calibri" w:hAnsi="Calibri"/>
          <w:sz w:val="24"/>
          <w:szCs w:val="24"/>
        </w:rPr>
        <w:t> </w:t>
      </w:r>
    </w:p>
    <w:p w:rsidR="008E0A17" w:rsidRDefault="002D06E6" w:rsidP="0088207E">
      <w:pPr>
        <w:pStyle w:val="Heading1"/>
      </w:pPr>
      <w:bookmarkStart w:id="1" w:name="_Toc185589605"/>
      <w:r w:rsidRPr="002D06E6">
        <w:t>STATEMENT OF OBJECTIVES AND BENEFITS</w:t>
      </w:r>
      <w:bookmarkEnd w:id="1"/>
    </w:p>
    <w:p w:rsidR="008E0A17" w:rsidRDefault="008E0A17" w:rsidP="008E0A17">
      <w:pPr>
        <w:pStyle w:val="ListParagraph"/>
        <w:overflowPunct w:val="0"/>
        <w:autoSpaceDE w:val="0"/>
        <w:autoSpaceDN w:val="0"/>
        <w:adjustRightInd w:val="0"/>
        <w:spacing w:before="120" w:after="120"/>
        <w:jc w:val="both"/>
        <w:textAlignment w:val="baseline"/>
        <w:rPr>
          <w:rFonts w:asciiTheme="minorHAnsi" w:hAnsiTheme="minorHAnsi" w:cs="Tahoma"/>
          <w:b/>
        </w:rPr>
      </w:pPr>
    </w:p>
    <w:p w:rsidR="00CD6AB2" w:rsidRPr="00CD6AB2" w:rsidRDefault="002D06E6" w:rsidP="00CD6AB2">
      <w:pPr>
        <w:pStyle w:val="ListParagraph"/>
        <w:numPr>
          <w:ilvl w:val="1"/>
          <w:numId w:val="16"/>
        </w:numPr>
        <w:spacing w:before="120"/>
        <w:rPr>
          <w:rFonts w:asciiTheme="minorHAnsi" w:hAnsiTheme="minorHAnsi" w:cs="Tahoma"/>
          <w:lang w:val="en-US" w:bidi="en-US"/>
        </w:rPr>
      </w:pPr>
      <w:r w:rsidRPr="00CD6AB2">
        <w:rPr>
          <w:rFonts w:asciiTheme="minorHAnsi" w:hAnsiTheme="minorHAnsi" w:cs="Tahoma"/>
          <w:lang w:val="en-US" w:bidi="en-US"/>
        </w:rPr>
        <w:t>The Relevant Police Force and the CPS agree to work in partnership to facilitate the supply of MME from the Relevant Police Force to the CPS, support the use of MME by the CPS and fully recognise the positive impact the Relevant Police Force can have in gathering evidence and supporting the criminal justice system (</w:t>
      </w:r>
      <w:r w:rsidRPr="00D7216E">
        <w:rPr>
          <w:rFonts w:asciiTheme="minorHAnsi" w:hAnsiTheme="minorHAnsi" w:cs="Tahoma"/>
          <w:b/>
          <w:bCs/>
          <w:lang w:val="en-US" w:bidi="en-US"/>
        </w:rPr>
        <w:t>“CJS”</w:t>
      </w:r>
      <w:r w:rsidRPr="00CD6AB2">
        <w:rPr>
          <w:rFonts w:asciiTheme="minorHAnsi" w:hAnsiTheme="minorHAnsi" w:cs="Tahoma"/>
          <w:lang w:val="en-US" w:bidi="en-US"/>
        </w:rPr>
        <w:t xml:space="preserve">). The rapid development of technology provides a significant number of opportunities and benefits to the CJS. The Relevant Police Force and the CPS are both committed to the development of digital working and agree that the provision of DEMS links provides such an opportunity. </w:t>
      </w:r>
    </w:p>
    <w:p w:rsidR="00CD6AB2" w:rsidRDefault="00CD6AB2" w:rsidP="00CD6AB2">
      <w:pPr>
        <w:pStyle w:val="ListParagraph"/>
        <w:rPr>
          <w:rFonts w:asciiTheme="minorHAnsi" w:hAnsiTheme="minorHAnsi" w:cs="Tahoma"/>
          <w:lang w:val="en-US" w:bidi="en-US"/>
        </w:rPr>
      </w:pPr>
    </w:p>
    <w:p w:rsidR="00CD6AB2" w:rsidRPr="00CD6AB2" w:rsidRDefault="00CD6AB2" w:rsidP="00CD6AB2">
      <w:pPr>
        <w:pStyle w:val="ListParagraph"/>
        <w:rPr>
          <w:rFonts w:asciiTheme="minorHAnsi" w:hAnsiTheme="minorHAnsi" w:cs="Tahoma"/>
          <w:lang w:val="en-US" w:bidi="en-US"/>
        </w:rPr>
      </w:pPr>
    </w:p>
    <w:p w:rsidR="00F1682F" w:rsidRPr="00CD6AB2" w:rsidRDefault="00CD6AB2" w:rsidP="0088207E">
      <w:pPr>
        <w:pStyle w:val="Heading1"/>
      </w:pPr>
      <w:bookmarkStart w:id="2" w:name="_Toc185589606"/>
      <w:r w:rsidRPr="00CD6AB2">
        <w:t>C</w:t>
      </w:r>
      <w:r w:rsidR="002D06E6" w:rsidRPr="002D06E6">
        <w:t xml:space="preserve">OMMENCEMENT, DURATION, INTERPRETATION AND AMENDMENT OF THE </w:t>
      </w:r>
      <w:r w:rsidR="002119A3">
        <w:rPr>
          <w:lang w:val="en-US" w:bidi="en-US"/>
        </w:rPr>
        <w:t>MEMORANDUM OF UNDERSTANDING</w:t>
      </w:r>
      <w:bookmarkEnd w:id="2"/>
    </w:p>
    <w:p w:rsidR="00F1682F" w:rsidRDefault="00F1682F" w:rsidP="00F1682F">
      <w:pPr>
        <w:pStyle w:val="ListParagraph"/>
        <w:overflowPunct w:val="0"/>
        <w:autoSpaceDE w:val="0"/>
        <w:autoSpaceDN w:val="0"/>
        <w:adjustRightInd w:val="0"/>
        <w:spacing w:before="120" w:after="120"/>
        <w:ind w:left="360"/>
        <w:jc w:val="both"/>
        <w:textAlignment w:val="baseline"/>
        <w:rPr>
          <w:rFonts w:asciiTheme="minorHAnsi" w:hAnsiTheme="minorHAnsi" w:cs="Tahoma"/>
          <w:b/>
        </w:rPr>
      </w:pPr>
    </w:p>
    <w:p w:rsidR="00F1682F" w:rsidRDefault="002D06E6" w:rsidP="002D2542">
      <w:pPr>
        <w:pStyle w:val="ListParagraph"/>
        <w:numPr>
          <w:ilvl w:val="1"/>
          <w:numId w:val="16"/>
        </w:numPr>
        <w:spacing w:before="120"/>
        <w:rPr>
          <w:rFonts w:asciiTheme="minorHAnsi" w:hAnsiTheme="minorHAnsi" w:cs="Tahoma"/>
          <w:lang w:val="en-US" w:bidi="en-US"/>
        </w:rPr>
      </w:pPr>
      <w:r w:rsidRPr="00F1682F">
        <w:rPr>
          <w:rFonts w:asciiTheme="minorHAnsi" w:hAnsiTheme="minorHAnsi" w:cs="Tahoma"/>
          <w:lang w:val="en-US" w:bidi="en-US"/>
        </w:rPr>
        <w:t>The</w:t>
      </w:r>
      <w:r w:rsidR="002119A3" w:rsidRPr="002119A3">
        <w:rPr>
          <w:rFonts w:asciiTheme="minorHAnsi" w:hAnsiTheme="minorHAnsi" w:cs="Tahoma"/>
          <w:lang w:val="en-US" w:bidi="en-US"/>
        </w:rPr>
        <w:t xml:space="preserve"> </w:t>
      </w:r>
      <w:r w:rsidR="002119A3">
        <w:rPr>
          <w:rFonts w:asciiTheme="minorHAnsi" w:hAnsiTheme="minorHAnsi" w:cs="Tahoma"/>
          <w:lang w:val="en-US" w:bidi="en-US"/>
        </w:rPr>
        <w:t>MOU</w:t>
      </w:r>
      <w:r w:rsidR="002119A3" w:rsidRPr="00F1682F">
        <w:rPr>
          <w:rFonts w:asciiTheme="minorHAnsi" w:hAnsiTheme="minorHAnsi" w:cs="Tahoma"/>
          <w:lang w:val="en-US" w:bidi="en-US"/>
        </w:rPr>
        <w:t xml:space="preserve"> </w:t>
      </w:r>
      <w:r w:rsidRPr="00F1682F">
        <w:rPr>
          <w:rFonts w:asciiTheme="minorHAnsi" w:hAnsiTheme="minorHAnsi" w:cs="Tahoma"/>
          <w:lang w:val="en-US" w:bidi="en-US"/>
        </w:rPr>
        <w:t>will take effect from the date of signature below.</w:t>
      </w:r>
    </w:p>
    <w:p w:rsidR="000B375B" w:rsidRPr="002D2542" w:rsidRDefault="000B375B" w:rsidP="000B375B">
      <w:pPr>
        <w:pStyle w:val="ListParagraph"/>
        <w:spacing w:before="120"/>
        <w:ind w:left="792"/>
        <w:rPr>
          <w:rFonts w:asciiTheme="minorHAnsi" w:hAnsiTheme="minorHAnsi" w:cs="Tahoma"/>
          <w:lang w:val="en-US" w:bidi="en-US"/>
        </w:rPr>
      </w:pPr>
    </w:p>
    <w:p w:rsidR="002D2542" w:rsidRPr="002D2542" w:rsidRDefault="002D06E6" w:rsidP="002D2542">
      <w:pPr>
        <w:pStyle w:val="ListParagraph"/>
        <w:numPr>
          <w:ilvl w:val="1"/>
          <w:numId w:val="16"/>
        </w:numPr>
        <w:spacing w:before="120"/>
        <w:rPr>
          <w:rFonts w:asciiTheme="minorHAnsi" w:hAnsiTheme="minorHAnsi" w:cs="Tahoma"/>
          <w:lang w:val="en-US" w:bidi="en-US"/>
        </w:rPr>
      </w:pPr>
      <w:r w:rsidRPr="002D06E6">
        <w:rPr>
          <w:rFonts w:asciiTheme="minorHAnsi" w:hAnsiTheme="minorHAnsi" w:cs="Tahoma"/>
          <w:lang w:val="en-US" w:bidi="en-US"/>
        </w:rPr>
        <w:t xml:space="preserve">It is agreed that this data sharing arrangement to supply MME to the CPS via DEMS link, in accordance with the provisions of this </w:t>
      </w:r>
      <w:r w:rsidR="002119A3">
        <w:rPr>
          <w:rFonts w:asciiTheme="minorHAnsi" w:hAnsiTheme="minorHAnsi" w:cs="Tahoma"/>
          <w:lang w:val="en-US" w:bidi="en-US"/>
        </w:rPr>
        <w:t>MOU</w:t>
      </w:r>
      <w:r w:rsidRPr="002D06E6">
        <w:rPr>
          <w:rFonts w:asciiTheme="minorHAnsi" w:hAnsiTheme="minorHAnsi" w:cs="Tahoma"/>
          <w:lang w:val="en-US" w:bidi="en-US"/>
        </w:rPr>
        <w:t xml:space="preserve"> shall be maintained from the date the </w:t>
      </w:r>
      <w:r w:rsidR="002119A3">
        <w:rPr>
          <w:rFonts w:asciiTheme="minorHAnsi" w:hAnsiTheme="minorHAnsi" w:cs="Tahoma"/>
          <w:lang w:val="en-US" w:bidi="en-US"/>
        </w:rPr>
        <w:t>MOU</w:t>
      </w:r>
      <w:r w:rsidRPr="002D06E6">
        <w:rPr>
          <w:rFonts w:asciiTheme="minorHAnsi" w:hAnsiTheme="minorHAnsi" w:cs="Tahoma"/>
          <w:lang w:val="en-US" w:bidi="en-US"/>
        </w:rPr>
        <w:t xml:space="preserve"> takes effect. This </w:t>
      </w:r>
      <w:r w:rsidR="002119A3">
        <w:rPr>
          <w:rFonts w:asciiTheme="minorHAnsi" w:hAnsiTheme="minorHAnsi" w:cs="Tahoma"/>
          <w:lang w:val="en-US" w:bidi="en-US"/>
        </w:rPr>
        <w:t>MOU</w:t>
      </w:r>
      <w:r w:rsidRPr="002D06E6">
        <w:rPr>
          <w:rFonts w:asciiTheme="minorHAnsi" w:hAnsiTheme="minorHAnsi" w:cs="Tahoma"/>
          <w:lang w:val="en-US" w:bidi="en-US"/>
        </w:rPr>
        <w:t xml:space="preserve"> shall be reviewed at a national level regularly (as a </w:t>
      </w:r>
      <w:r w:rsidRPr="00677AA1">
        <w:rPr>
          <w:rFonts w:asciiTheme="minorHAnsi" w:hAnsiTheme="minorHAnsi" w:cs="Tahoma"/>
          <w:lang w:val="en-US" w:bidi="en-US"/>
        </w:rPr>
        <w:t xml:space="preserve">minimum, </w:t>
      </w:r>
      <w:r w:rsidR="00423DB5" w:rsidRPr="00677AA1">
        <w:rPr>
          <w:rFonts w:asciiTheme="minorHAnsi" w:hAnsiTheme="minorHAnsi" w:cs="Tahoma"/>
          <w:lang w:val="en-US" w:bidi="en-US"/>
        </w:rPr>
        <w:t>biennially</w:t>
      </w:r>
      <w:r w:rsidRPr="00677AA1">
        <w:rPr>
          <w:rFonts w:asciiTheme="minorHAnsi" w:hAnsiTheme="minorHAnsi" w:cs="Tahoma"/>
          <w:lang w:val="en-US" w:bidi="en-US"/>
        </w:rPr>
        <w:t>) to</w:t>
      </w:r>
      <w:r w:rsidRPr="002D06E6">
        <w:rPr>
          <w:rFonts w:asciiTheme="minorHAnsi" w:hAnsiTheme="minorHAnsi" w:cs="Tahoma"/>
          <w:lang w:val="en-US" w:bidi="en-US"/>
        </w:rPr>
        <w:t xml:space="preserve"> ensure it remains appropriate. Any updated versions will be shared to the parties.</w:t>
      </w:r>
    </w:p>
    <w:p w:rsidR="000B375B" w:rsidRDefault="000B375B" w:rsidP="000B375B">
      <w:pPr>
        <w:pStyle w:val="ListParagraph"/>
        <w:spacing w:before="120"/>
        <w:ind w:left="792"/>
        <w:rPr>
          <w:rFonts w:asciiTheme="minorHAnsi" w:hAnsiTheme="minorHAnsi" w:cs="Tahoma"/>
          <w:lang w:val="en-US" w:bidi="en-US"/>
        </w:rPr>
      </w:pPr>
    </w:p>
    <w:p w:rsidR="002D06E6" w:rsidRPr="002D2542" w:rsidRDefault="002D06E6" w:rsidP="002D2542">
      <w:pPr>
        <w:pStyle w:val="ListParagraph"/>
        <w:numPr>
          <w:ilvl w:val="1"/>
          <w:numId w:val="16"/>
        </w:numPr>
        <w:spacing w:before="120"/>
        <w:rPr>
          <w:rFonts w:asciiTheme="minorHAnsi" w:hAnsiTheme="minorHAnsi" w:cs="Tahoma"/>
          <w:lang w:val="en-US" w:bidi="en-US"/>
        </w:rPr>
      </w:pPr>
      <w:r w:rsidRPr="002D2542">
        <w:rPr>
          <w:rFonts w:asciiTheme="minorHAnsi" w:hAnsiTheme="minorHAnsi" w:cs="Tahoma"/>
          <w:lang w:val="en-US" w:bidi="en-US"/>
        </w:rPr>
        <w:t xml:space="preserve">Where either the Relevant Police Force or the CPS wishes to withdraw from the </w:t>
      </w:r>
      <w:r w:rsidR="002119A3">
        <w:rPr>
          <w:rFonts w:asciiTheme="minorHAnsi" w:hAnsiTheme="minorHAnsi" w:cs="Tahoma"/>
          <w:lang w:val="en-US" w:bidi="en-US"/>
        </w:rPr>
        <w:t>MOU</w:t>
      </w:r>
      <w:r w:rsidRPr="002D2542">
        <w:rPr>
          <w:rFonts w:asciiTheme="minorHAnsi" w:hAnsiTheme="minorHAnsi" w:cs="Tahoma"/>
          <w:lang w:val="en-US" w:bidi="en-US"/>
        </w:rPr>
        <w:t xml:space="preserve"> (either partially or wholly), not less than two months prior to the intended date of withdrawal, the withdrawing party is required to give to the other party written notice of its intention to withdraw either partially or wholly from the </w:t>
      </w:r>
      <w:r w:rsidR="002119A3">
        <w:rPr>
          <w:rFonts w:asciiTheme="minorHAnsi" w:hAnsiTheme="minorHAnsi" w:cs="Tahoma"/>
          <w:lang w:val="en-US" w:bidi="en-US"/>
        </w:rPr>
        <w:t>MOU</w:t>
      </w:r>
      <w:r w:rsidRPr="002D2542">
        <w:rPr>
          <w:rFonts w:asciiTheme="minorHAnsi" w:hAnsiTheme="minorHAnsi" w:cs="Tahoma"/>
          <w:lang w:val="en-US" w:bidi="en-US"/>
        </w:rPr>
        <w:t>, including in such notice:</w:t>
      </w:r>
    </w:p>
    <w:p w:rsidR="002D06E6" w:rsidRPr="002D06E6" w:rsidRDefault="002D06E6" w:rsidP="002D2542">
      <w:pPr>
        <w:pStyle w:val="ListParagraph"/>
        <w:spacing w:before="120"/>
        <w:ind w:left="792"/>
        <w:rPr>
          <w:rFonts w:asciiTheme="minorHAnsi" w:hAnsiTheme="minorHAnsi" w:cs="Tahoma"/>
          <w:lang w:val="en-US" w:bidi="en-US"/>
        </w:rPr>
      </w:pPr>
    </w:p>
    <w:p w:rsidR="002D06E6" w:rsidRPr="002D06E6" w:rsidRDefault="002D06E6" w:rsidP="003C1E61">
      <w:pPr>
        <w:pStyle w:val="ListParagraph"/>
        <w:numPr>
          <w:ilvl w:val="2"/>
          <w:numId w:val="16"/>
        </w:numPr>
        <w:spacing w:before="120"/>
        <w:rPr>
          <w:rFonts w:asciiTheme="minorHAnsi" w:hAnsiTheme="minorHAnsi" w:cs="Tahoma"/>
          <w:lang w:val="en-US" w:bidi="en-US"/>
        </w:rPr>
      </w:pPr>
      <w:r w:rsidRPr="002D06E6">
        <w:rPr>
          <w:rFonts w:asciiTheme="minorHAnsi" w:hAnsiTheme="minorHAnsi" w:cs="Tahoma"/>
          <w:lang w:val="en-US" w:bidi="en-US"/>
        </w:rPr>
        <w:t>the intended date of withdrawal;</w:t>
      </w:r>
      <w:r w:rsidRPr="002D06E6">
        <w:rPr>
          <w:rFonts w:asciiTheme="minorHAnsi" w:hAnsiTheme="minorHAnsi" w:cs="Tahoma"/>
          <w:lang w:val="en-US" w:bidi="en-US"/>
        </w:rPr>
        <w:br/>
      </w:r>
    </w:p>
    <w:p w:rsidR="002D06E6" w:rsidRPr="002D06E6" w:rsidRDefault="002D06E6" w:rsidP="003C1E61">
      <w:pPr>
        <w:pStyle w:val="ListParagraph"/>
        <w:numPr>
          <w:ilvl w:val="2"/>
          <w:numId w:val="16"/>
        </w:numPr>
        <w:spacing w:before="120"/>
        <w:rPr>
          <w:rFonts w:asciiTheme="minorHAnsi" w:hAnsiTheme="minorHAnsi" w:cs="Tahoma"/>
          <w:lang w:val="en-US" w:bidi="en-US"/>
        </w:rPr>
      </w:pPr>
      <w:r w:rsidRPr="002D06E6">
        <w:rPr>
          <w:rFonts w:asciiTheme="minorHAnsi" w:hAnsiTheme="minorHAnsi" w:cs="Tahoma"/>
          <w:lang w:val="en-US" w:bidi="en-US"/>
        </w:rPr>
        <w:t xml:space="preserve">details of the standard or service to be withdrawn; </w:t>
      </w:r>
      <w:r w:rsidRPr="002D06E6">
        <w:rPr>
          <w:rFonts w:asciiTheme="minorHAnsi" w:hAnsiTheme="minorHAnsi" w:cs="Tahoma"/>
          <w:lang w:val="en-US" w:bidi="en-US"/>
        </w:rPr>
        <w:br/>
      </w:r>
    </w:p>
    <w:p w:rsidR="002D06E6" w:rsidRPr="002D06E6" w:rsidRDefault="002D06E6" w:rsidP="003C1E61">
      <w:pPr>
        <w:pStyle w:val="ListParagraph"/>
        <w:numPr>
          <w:ilvl w:val="2"/>
          <w:numId w:val="16"/>
        </w:numPr>
        <w:spacing w:before="120"/>
        <w:rPr>
          <w:rFonts w:asciiTheme="minorHAnsi" w:hAnsiTheme="minorHAnsi" w:cs="Tahoma"/>
          <w:lang w:val="en-US" w:bidi="en-US"/>
        </w:rPr>
      </w:pPr>
      <w:r w:rsidRPr="002D06E6">
        <w:rPr>
          <w:rFonts w:asciiTheme="minorHAnsi" w:hAnsiTheme="minorHAnsi" w:cs="Tahoma"/>
          <w:lang w:val="en-US" w:bidi="en-US"/>
        </w:rPr>
        <w:t xml:space="preserve">the reasons for withdrawal; and </w:t>
      </w:r>
      <w:r w:rsidRPr="002D06E6">
        <w:rPr>
          <w:rFonts w:asciiTheme="minorHAnsi" w:hAnsiTheme="minorHAnsi" w:cs="Tahoma"/>
          <w:lang w:val="en-US" w:bidi="en-US"/>
        </w:rPr>
        <w:br/>
      </w:r>
    </w:p>
    <w:p w:rsidR="002D06E6" w:rsidRPr="002D06E6" w:rsidRDefault="002D06E6" w:rsidP="003C1E61">
      <w:pPr>
        <w:pStyle w:val="ListParagraph"/>
        <w:numPr>
          <w:ilvl w:val="2"/>
          <w:numId w:val="16"/>
        </w:numPr>
        <w:spacing w:before="120"/>
        <w:rPr>
          <w:rFonts w:asciiTheme="minorHAnsi" w:hAnsiTheme="minorHAnsi" w:cs="Tahoma"/>
          <w:lang w:val="en-US" w:bidi="en-US"/>
        </w:rPr>
      </w:pPr>
      <w:r w:rsidRPr="002D06E6">
        <w:rPr>
          <w:rFonts w:asciiTheme="minorHAnsi" w:hAnsiTheme="minorHAnsi" w:cs="Tahoma"/>
          <w:lang w:val="en-US" w:bidi="en-US"/>
        </w:rPr>
        <w:t>a plan for any contingencies that need to be implemented, in order to facilitate the withdrawal.</w:t>
      </w:r>
    </w:p>
    <w:p w:rsidR="002D06E6" w:rsidRPr="000B375B" w:rsidRDefault="000B375B" w:rsidP="000B375B">
      <w:pPr>
        <w:spacing w:before="120"/>
        <w:ind w:left="360"/>
        <w:rPr>
          <w:rFonts w:ascii="Calibri" w:eastAsia="Calibri" w:hAnsi="Calibri"/>
          <w:sz w:val="24"/>
          <w:szCs w:val="24"/>
        </w:rPr>
      </w:pPr>
      <w:r>
        <w:rPr>
          <w:rFonts w:asciiTheme="minorHAnsi" w:hAnsiTheme="minorHAnsi" w:cs="Tahoma"/>
          <w:lang w:val="en-US" w:bidi="en-US"/>
        </w:rPr>
        <w:br/>
      </w:r>
      <w:r w:rsidR="002D06E6" w:rsidRPr="000B375B">
        <w:rPr>
          <w:rFonts w:asciiTheme="minorHAnsi" w:hAnsiTheme="minorHAnsi" w:cs="Tahoma"/>
          <w:lang w:val="en-US" w:bidi="en-US"/>
        </w:rPr>
        <w:t>The parties will discuss in good faith any appropriate and required actions relating to the withdrawal.</w:t>
      </w:r>
      <w:r w:rsidR="002D06E6" w:rsidRPr="000B375B">
        <w:rPr>
          <w:rFonts w:ascii="Calibri" w:eastAsia="Calibri" w:hAnsi="Calibri"/>
          <w:sz w:val="24"/>
          <w:szCs w:val="24"/>
        </w:rPr>
        <w:br/>
      </w:r>
    </w:p>
    <w:p w:rsidR="00C923D1" w:rsidRDefault="002D06E6" w:rsidP="00CD6AB2">
      <w:pPr>
        <w:pStyle w:val="ListParagraph"/>
        <w:numPr>
          <w:ilvl w:val="1"/>
          <w:numId w:val="16"/>
        </w:numPr>
        <w:spacing w:before="120"/>
        <w:rPr>
          <w:rFonts w:asciiTheme="minorHAnsi" w:hAnsiTheme="minorHAnsi" w:cs="Tahoma"/>
          <w:lang w:val="en-US" w:bidi="en-US"/>
        </w:rPr>
      </w:pPr>
      <w:r w:rsidRPr="002D06E6">
        <w:rPr>
          <w:rFonts w:asciiTheme="minorHAnsi" w:hAnsiTheme="minorHAnsi" w:cs="Tahoma"/>
          <w:lang w:val="en-US" w:bidi="en-US"/>
        </w:rPr>
        <w:t>In exceptional circumstances (such as a major security breach), either party may have to take emergency action to suspend normal business activity while checks are made to understand the reasons for the breach, assess severity and actions to take to remedy. The decision for who suspends or agrees business resumption is to be agreed by the Chief Constable (CC) for the Relevant Police Force or Area Business Manager (</w:t>
      </w:r>
      <w:r w:rsidRPr="002D06E6">
        <w:rPr>
          <w:rFonts w:asciiTheme="minorHAnsi" w:hAnsiTheme="minorHAnsi" w:cs="Tahoma"/>
          <w:b/>
          <w:bCs/>
          <w:lang w:val="en-US" w:bidi="en-US"/>
        </w:rPr>
        <w:t>ABM</w:t>
      </w:r>
      <w:r w:rsidRPr="002D06E6">
        <w:rPr>
          <w:rFonts w:asciiTheme="minorHAnsi" w:hAnsiTheme="minorHAnsi" w:cs="Tahoma"/>
          <w:lang w:val="en-US" w:bidi="en-US"/>
        </w:rPr>
        <w:t>) for the CPS.</w:t>
      </w:r>
    </w:p>
    <w:p w:rsidR="00CD6AB2" w:rsidRPr="00CD6AB2" w:rsidRDefault="00CD6AB2" w:rsidP="00CD6AB2">
      <w:pPr>
        <w:pStyle w:val="ListParagraph"/>
        <w:spacing w:before="120"/>
        <w:ind w:left="792"/>
        <w:rPr>
          <w:rFonts w:asciiTheme="minorHAnsi" w:hAnsiTheme="minorHAnsi" w:cs="Tahoma"/>
          <w:lang w:val="en-US" w:bidi="en-US"/>
        </w:rPr>
      </w:pPr>
    </w:p>
    <w:p w:rsidR="002D06E6" w:rsidRPr="002D06E6" w:rsidRDefault="002D06E6" w:rsidP="00F54B42">
      <w:pPr>
        <w:pStyle w:val="ListParagraph"/>
        <w:numPr>
          <w:ilvl w:val="1"/>
          <w:numId w:val="16"/>
        </w:numPr>
        <w:spacing w:before="120"/>
        <w:rPr>
          <w:rFonts w:asciiTheme="minorHAnsi" w:hAnsiTheme="minorHAnsi" w:cs="Tahoma"/>
          <w:lang w:val="en-US" w:bidi="en-US"/>
        </w:rPr>
      </w:pPr>
      <w:r w:rsidRPr="002D06E6">
        <w:rPr>
          <w:rFonts w:asciiTheme="minorHAnsi" w:hAnsiTheme="minorHAnsi" w:cs="Tahoma"/>
          <w:lang w:val="en-US" w:bidi="en-US"/>
        </w:rPr>
        <w:t xml:space="preserve">Any provision of the </w:t>
      </w:r>
      <w:r w:rsidR="002119A3">
        <w:rPr>
          <w:rFonts w:asciiTheme="minorHAnsi" w:hAnsiTheme="minorHAnsi" w:cs="Tahoma"/>
          <w:lang w:val="en-US" w:bidi="en-US"/>
        </w:rPr>
        <w:t>MOU</w:t>
      </w:r>
      <w:r w:rsidRPr="002D06E6">
        <w:rPr>
          <w:rFonts w:asciiTheme="minorHAnsi" w:hAnsiTheme="minorHAnsi" w:cs="Tahoma"/>
          <w:lang w:val="en-US" w:bidi="en-US"/>
        </w:rPr>
        <w:t xml:space="preserve"> may be amended at any time, on the agreement of both the relevant signatories. Amendments must be consistent with any relevant national standards and/or guidance.</w:t>
      </w:r>
      <w:r w:rsidRPr="002D06E6">
        <w:rPr>
          <w:rFonts w:asciiTheme="minorHAnsi" w:hAnsiTheme="minorHAnsi" w:cs="Tahoma"/>
          <w:lang w:val="en-US" w:bidi="en-US"/>
        </w:rPr>
        <w:br/>
      </w:r>
    </w:p>
    <w:p w:rsidR="00F54B42" w:rsidRDefault="002D06E6" w:rsidP="00F54B42">
      <w:pPr>
        <w:pStyle w:val="ListParagraph"/>
        <w:numPr>
          <w:ilvl w:val="1"/>
          <w:numId w:val="16"/>
        </w:numPr>
        <w:spacing w:before="120"/>
        <w:rPr>
          <w:rFonts w:asciiTheme="minorHAnsi" w:hAnsiTheme="minorHAnsi" w:cs="Tahoma"/>
          <w:lang w:val="en-US" w:bidi="en-US"/>
        </w:rPr>
      </w:pPr>
      <w:r w:rsidRPr="002D06E6">
        <w:rPr>
          <w:rFonts w:asciiTheme="minorHAnsi" w:hAnsiTheme="minorHAnsi" w:cs="Tahoma"/>
          <w:lang w:val="en-US" w:bidi="en-US"/>
        </w:rPr>
        <w:t xml:space="preserve">This </w:t>
      </w:r>
      <w:r w:rsidR="002119A3">
        <w:rPr>
          <w:rFonts w:asciiTheme="minorHAnsi" w:hAnsiTheme="minorHAnsi" w:cs="Tahoma"/>
          <w:lang w:val="en-US" w:bidi="en-US"/>
        </w:rPr>
        <w:t>MOU</w:t>
      </w:r>
      <w:r w:rsidRPr="002D06E6">
        <w:rPr>
          <w:rFonts w:asciiTheme="minorHAnsi" w:hAnsiTheme="minorHAnsi" w:cs="Tahoma"/>
          <w:lang w:val="en-US" w:bidi="en-US"/>
        </w:rPr>
        <w:t xml:space="preserve"> is intended to supplement the already close and cooperative working relationship between the parties. However, from time to time, it is possible that disagreements between the CPS and the Relevant Police Force will arise. Where this occurs, a mutually agreeable resolution should first be sought at an operational level. If a resolution cannot be agreed, the matter should be escalated for discussion between more senior representatives of each party, until such time as an agreement can be reached. </w:t>
      </w:r>
    </w:p>
    <w:p w:rsidR="002D06E6" w:rsidRPr="00F54B42" w:rsidRDefault="002D06E6" w:rsidP="00F54B42">
      <w:pPr>
        <w:spacing w:after="200" w:line="276" w:lineRule="auto"/>
        <w:rPr>
          <w:rFonts w:asciiTheme="minorHAnsi" w:hAnsiTheme="minorHAnsi" w:cs="Tahoma"/>
          <w:lang w:val="en-US" w:bidi="en-US"/>
        </w:rPr>
      </w:pPr>
    </w:p>
    <w:p w:rsidR="002D06E6" w:rsidRDefault="002D06E6" w:rsidP="0088207E">
      <w:pPr>
        <w:pStyle w:val="Heading1"/>
      </w:pPr>
      <w:bookmarkStart w:id="3" w:name="_Toc185589607"/>
      <w:r w:rsidRPr="002D06E6">
        <w:t>NATIONALLY AGREED STANDARDS</w:t>
      </w:r>
      <w:bookmarkEnd w:id="3"/>
    </w:p>
    <w:p w:rsidR="00CD6AB2" w:rsidRPr="002D06E6" w:rsidRDefault="00CD6AB2" w:rsidP="00CD6AB2">
      <w:pPr>
        <w:pStyle w:val="ListParagraph"/>
        <w:overflowPunct w:val="0"/>
        <w:autoSpaceDE w:val="0"/>
        <w:autoSpaceDN w:val="0"/>
        <w:adjustRightInd w:val="0"/>
        <w:spacing w:before="120" w:after="120"/>
        <w:ind w:left="360"/>
        <w:jc w:val="both"/>
        <w:textAlignment w:val="baseline"/>
        <w:rPr>
          <w:rFonts w:asciiTheme="minorHAnsi" w:hAnsiTheme="minorHAnsi" w:cs="Tahoma"/>
          <w:b/>
        </w:rPr>
      </w:pPr>
    </w:p>
    <w:p w:rsidR="002D06E6" w:rsidRPr="002D06E6" w:rsidRDefault="002D06E6" w:rsidP="00CD6AB2">
      <w:pPr>
        <w:pStyle w:val="ListParagraph"/>
        <w:numPr>
          <w:ilvl w:val="1"/>
          <w:numId w:val="16"/>
        </w:numPr>
        <w:spacing w:before="120"/>
        <w:rPr>
          <w:rFonts w:ascii="Calibri" w:eastAsia="Calibri" w:hAnsi="Calibri"/>
          <w:sz w:val="24"/>
          <w:szCs w:val="24"/>
        </w:rPr>
      </w:pPr>
      <w:r w:rsidRPr="002D06E6">
        <w:rPr>
          <w:rFonts w:asciiTheme="minorHAnsi" w:hAnsiTheme="minorHAnsi" w:cs="Tahoma"/>
          <w:lang w:val="en-US" w:bidi="en-US"/>
        </w:rPr>
        <w:t xml:space="preserve">The standards for the handling MME via DEMS links will be consistent with relevant national standards, legislative </w:t>
      </w:r>
      <w:r w:rsidR="00D81B56" w:rsidRPr="002D06E6">
        <w:rPr>
          <w:rFonts w:asciiTheme="minorHAnsi" w:hAnsiTheme="minorHAnsi" w:cs="Tahoma"/>
          <w:lang w:val="en-US" w:bidi="en-US"/>
        </w:rPr>
        <w:t>requirements,</w:t>
      </w:r>
      <w:r w:rsidRPr="002D06E6">
        <w:rPr>
          <w:rFonts w:asciiTheme="minorHAnsi" w:hAnsiTheme="minorHAnsi" w:cs="Tahoma"/>
          <w:lang w:val="en-US" w:bidi="en-US"/>
        </w:rPr>
        <w:t xml:space="preserve"> and policies, and have regard in particular to the guidance set out in the following documents and commitments including, but not limited to:</w:t>
      </w:r>
      <w:r w:rsidRPr="002D06E6">
        <w:rPr>
          <w:rFonts w:asciiTheme="minorHAnsi" w:hAnsiTheme="minorHAnsi" w:cs="Tahoma"/>
          <w:lang w:val="en-US" w:bidi="en-US"/>
        </w:rPr>
        <w:br/>
      </w:r>
    </w:p>
    <w:p w:rsidR="002D06E6" w:rsidRPr="002D06E6" w:rsidRDefault="002D06E6" w:rsidP="00EF5DB8">
      <w:pPr>
        <w:pStyle w:val="ListParagraph"/>
        <w:numPr>
          <w:ilvl w:val="2"/>
          <w:numId w:val="16"/>
        </w:numPr>
        <w:spacing w:before="120"/>
        <w:rPr>
          <w:rFonts w:asciiTheme="minorHAnsi" w:hAnsiTheme="minorHAnsi" w:cs="Tahoma"/>
          <w:lang w:val="en-US" w:bidi="en-US"/>
        </w:rPr>
      </w:pPr>
      <w:r w:rsidRPr="002D06E6">
        <w:rPr>
          <w:rFonts w:asciiTheme="minorHAnsi" w:hAnsiTheme="minorHAnsi" w:cs="Tahoma"/>
          <w:lang w:val="en-US" w:bidi="en-US"/>
        </w:rPr>
        <w:t>the Criminal Procedure and Investigations Act 1996 and relevant Codes of Practice;</w:t>
      </w:r>
      <w:r w:rsidRPr="002D06E6">
        <w:rPr>
          <w:rFonts w:asciiTheme="minorHAnsi" w:hAnsiTheme="minorHAnsi" w:cs="Tahoma"/>
          <w:lang w:val="en-US" w:bidi="en-US"/>
        </w:rPr>
        <w:br/>
      </w:r>
    </w:p>
    <w:p w:rsidR="00EF5DB8" w:rsidRDefault="002D06E6" w:rsidP="00EF5DB8">
      <w:pPr>
        <w:pStyle w:val="ListParagraph"/>
        <w:numPr>
          <w:ilvl w:val="2"/>
          <w:numId w:val="16"/>
        </w:numPr>
        <w:spacing w:before="120"/>
        <w:rPr>
          <w:rFonts w:asciiTheme="minorHAnsi" w:hAnsiTheme="minorHAnsi" w:cs="Tahoma"/>
          <w:lang w:val="en-US" w:bidi="en-US"/>
        </w:rPr>
      </w:pPr>
      <w:r w:rsidRPr="002D06E6">
        <w:rPr>
          <w:rFonts w:asciiTheme="minorHAnsi" w:hAnsiTheme="minorHAnsi" w:cs="Tahoma"/>
          <w:lang w:val="en-US" w:bidi="en-US"/>
        </w:rPr>
        <w:t>the National Police Chiefs’ Council (NPCC) Guidance on Body Worn Video 2022;</w:t>
      </w:r>
      <w:r w:rsidR="00EF5DB8">
        <w:rPr>
          <w:rFonts w:asciiTheme="minorHAnsi" w:hAnsiTheme="minorHAnsi" w:cs="Tahoma"/>
          <w:lang w:val="en-US" w:bidi="en-US"/>
        </w:rPr>
        <w:br/>
      </w:r>
    </w:p>
    <w:p w:rsidR="002D06E6" w:rsidRPr="00EF5DB8" w:rsidRDefault="002D06E6" w:rsidP="00EF5DB8">
      <w:pPr>
        <w:pStyle w:val="ListParagraph"/>
        <w:numPr>
          <w:ilvl w:val="2"/>
          <w:numId w:val="16"/>
        </w:numPr>
        <w:spacing w:before="120"/>
        <w:rPr>
          <w:rFonts w:asciiTheme="minorHAnsi" w:hAnsiTheme="minorHAnsi" w:cs="Tahoma"/>
          <w:lang w:val="en-US" w:bidi="en-US"/>
        </w:rPr>
      </w:pPr>
      <w:r w:rsidRPr="00EF5DB8">
        <w:rPr>
          <w:rFonts w:asciiTheme="minorHAnsi" w:hAnsiTheme="minorHAnsi" w:cs="Tahoma"/>
          <w:lang w:val="en-US" w:bidi="en-US"/>
        </w:rPr>
        <w:t>the guidance to police officers</w:t>
      </w:r>
      <w:r w:rsidRPr="002D06E6">
        <w:rPr>
          <w:lang w:val="en-US" w:bidi="en-US"/>
        </w:rPr>
        <w:footnoteReference w:id="1"/>
      </w:r>
      <w:r w:rsidRPr="00EF5DB8">
        <w:rPr>
          <w:rFonts w:asciiTheme="minorHAnsi" w:hAnsiTheme="minorHAnsi" w:cs="Tahoma"/>
          <w:lang w:val="en-US" w:bidi="en-US"/>
        </w:rPr>
        <w:t xml:space="preserve"> and Crown Prosecutors issued by the Director of Public Prosecutions (</w:t>
      </w:r>
      <w:r w:rsidRPr="00EF5DB8">
        <w:rPr>
          <w:rFonts w:asciiTheme="minorHAnsi" w:hAnsiTheme="minorHAnsi" w:cs="Tahoma"/>
          <w:b/>
          <w:bCs/>
          <w:lang w:val="en-US" w:bidi="en-US"/>
        </w:rPr>
        <w:t>“Director’s Guidance on Charging”</w:t>
      </w:r>
      <w:r w:rsidRPr="00EF5DB8">
        <w:rPr>
          <w:rFonts w:asciiTheme="minorHAnsi" w:hAnsiTheme="minorHAnsi" w:cs="Tahoma"/>
          <w:lang w:val="en-US" w:bidi="en-US"/>
        </w:rPr>
        <w:t>) under section 37a of the Police and Criminal Evidence Act 1984, which has established the requirement for certain categories of charging decision to be made by Crown Prosecutors including the National File Standard;</w:t>
      </w:r>
      <w:r w:rsidRPr="00EF5DB8">
        <w:rPr>
          <w:rFonts w:ascii="Calibri" w:eastAsia="Calibri" w:hAnsi="Calibri"/>
          <w:sz w:val="24"/>
          <w:szCs w:val="24"/>
        </w:rPr>
        <w:br/>
      </w:r>
    </w:p>
    <w:p w:rsidR="002D06E6" w:rsidRPr="002D06E6" w:rsidRDefault="002D06E6" w:rsidP="00EF5DB8">
      <w:pPr>
        <w:pStyle w:val="ListParagraph"/>
        <w:numPr>
          <w:ilvl w:val="2"/>
          <w:numId w:val="16"/>
        </w:numPr>
        <w:spacing w:before="120"/>
        <w:rPr>
          <w:rFonts w:asciiTheme="minorHAnsi" w:hAnsiTheme="minorHAnsi" w:cs="Tahoma"/>
          <w:lang w:val="en-US" w:bidi="en-US"/>
        </w:rPr>
      </w:pPr>
      <w:r w:rsidRPr="002D06E6">
        <w:rPr>
          <w:rFonts w:asciiTheme="minorHAnsi" w:hAnsiTheme="minorHAnsi" w:cs="Tahoma"/>
          <w:lang w:val="en-US" w:bidi="en-US"/>
        </w:rPr>
        <w:t>the National Policing Community Security Policy;</w:t>
      </w:r>
      <w:r w:rsidRPr="002D06E6">
        <w:rPr>
          <w:rFonts w:asciiTheme="minorHAnsi" w:hAnsiTheme="minorHAnsi" w:cs="Tahoma"/>
          <w:lang w:val="en-US" w:bidi="en-US"/>
        </w:rPr>
        <w:br/>
      </w:r>
    </w:p>
    <w:p w:rsidR="002D06E6" w:rsidRPr="002D06E6" w:rsidRDefault="002D06E6" w:rsidP="00EF5DB8">
      <w:pPr>
        <w:pStyle w:val="ListParagraph"/>
        <w:numPr>
          <w:ilvl w:val="2"/>
          <w:numId w:val="16"/>
        </w:numPr>
        <w:spacing w:before="120"/>
        <w:rPr>
          <w:rFonts w:asciiTheme="minorHAnsi" w:hAnsiTheme="minorHAnsi" w:cs="Tahoma"/>
          <w:lang w:val="en-US" w:bidi="en-US"/>
        </w:rPr>
      </w:pPr>
      <w:r w:rsidRPr="002D06E6">
        <w:rPr>
          <w:rFonts w:asciiTheme="minorHAnsi" w:hAnsiTheme="minorHAnsi" w:cs="Tahoma"/>
          <w:lang w:val="en-US" w:bidi="en-US"/>
        </w:rPr>
        <w:t>the Code for Crown Prosecutors;</w:t>
      </w:r>
      <w:r w:rsidRPr="002D06E6">
        <w:rPr>
          <w:rFonts w:asciiTheme="minorHAnsi" w:hAnsiTheme="minorHAnsi" w:cs="Tahoma"/>
          <w:lang w:val="en-US" w:bidi="en-US"/>
        </w:rPr>
        <w:br/>
      </w:r>
    </w:p>
    <w:p w:rsidR="002D06E6" w:rsidRPr="002D06E6" w:rsidRDefault="002D06E6" w:rsidP="00EF5DB8">
      <w:pPr>
        <w:pStyle w:val="ListParagraph"/>
        <w:numPr>
          <w:ilvl w:val="2"/>
          <w:numId w:val="16"/>
        </w:numPr>
        <w:spacing w:before="120"/>
        <w:rPr>
          <w:rFonts w:asciiTheme="minorHAnsi" w:hAnsiTheme="minorHAnsi" w:cs="Tahoma"/>
          <w:lang w:val="en-US" w:bidi="en-US"/>
        </w:rPr>
      </w:pPr>
      <w:r w:rsidRPr="002D06E6">
        <w:rPr>
          <w:rFonts w:asciiTheme="minorHAnsi" w:hAnsiTheme="minorHAnsi" w:cs="Tahoma"/>
          <w:lang w:val="en-US" w:bidi="en-US"/>
        </w:rPr>
        <w:t xml:space="preserve">the CPS Casework Quality Standards; </w:t>
      </w:r>
      <w:r w:rsidRPr="002D06E6">
        <w:rPr>
          <w:rFonts w:asciiTheme="minorHAnsi" w:hAnsiTheme="minorHAnsi" w:cs="Tahoma"/>
          <w:lang w:val="en-US" w:bidi="en-US"/>
        </w:rPr>
        <w:br/>
      </w:r>
    </w:p>
    <w:p w:rsidR="002D06E6" w:rsidRPr="002D06E6" w:rsidRDefault="002D06E6" w:rsidP="00EF5DB8">
      <w:pPr>
        <w:pStyle w:val="ListParagraph"/>
        <w:numPr>
          <w:ilvl w:val="2"/>
          <w:numId w:val="16"/>
        </w:numPr>
        <w:spacing w:before="120"/>
        <w:rPr>
          <w:rFonts w:asciiTheme="minorHAnsi" w:hAnsiTheme="minorHAnsi" w:cs="Tahoma"/>
          <w:lang w:val="en-US" w:bidi="en-US"/>
        </w:rPr>
      </w:pPr>
      <w:r w:rsidRPr="002D06E6">
        <w:rPr>
          <w:rFonts w:asciiTheme="minorHAnsi" w:hAnsiTheme="minorHAnsi" w:cs="Tahoma"/>
          <w:lang w:val="en-US" w:bidi="en-US"/>
        </w:rPr>
        <w:t>the NPCC National Digital and Physical Evidence Retention Guidance; and</w:t>
      </w:r>
      <w:r w:rsidRPr="002D06E6">
        <w:rPr>
          <w:rFonts w:asciiTheme="minorHAnsi" w:hAnsiTheme="minorHAnsi" w:cs="Tahoma"/>
          <w:lang w:val="en-US" w:bidi="en-US"/>
        </w:rPr>
        <w:br/>
      </w:r>
    </w:p>
    <w:p w:rsidR="002D06E6" w:rsidRPr="002D06E6" w:rsidRDefault="002D06E6" w:rsidP="00EF5DB8">
      <w:pPr>
        <w:pStyle w:val="ListParagraph"/>
        <w:numPr>
          <w:ilvl w:val="2"/>
          <w:numId w:val="16"/>
        </w:numPr>
        <w:spacing w:before="120"/>
        <w:rPr>
          <w:rFonts w:asciiTheme="minorHAnsi" w:hAnsiTheme="minorHAnsi" w:cs="Tahoma"/>
          <w:lang w:val="en-US" w:bidi="en-US"/>
        </w:rPr>
      </w:pPr>
      <w:r w:rsidRPr="002D06E6">
        <w:rPr>
          <w:rFonts w:asciiTheme="minorHAnsi" w:hAnsiTheme="minorHAnsi" w:cs="Tahoma"/>
          <w:lang w:val="en-US" w:bidi="en-US"/>
        </w:rPr>
        <w:t>the Attorney General’s Guidelines on Disclosure (</w:t>
      </w:r>
      <w:r w:rsidRPr="002D06E6">
        <w:rPr>
          <w:rFonts w:asciiTheme="minorHAnsi" w:hAnsiTheme="minorHAnsi" w:cs="Tahoma"/>
          <w:b/>
          <w:bCs/>
          <w:lang w:val="en-US" w:bidi="en-US"/>
        </w:rPr>
        <w:t>“AGG”</w:t>
      </w:r>
      <w:r w:rsidRPr="002D06E6">
        <w:rPr>
          <w:rFonts w:asciiTheme="minorHAnsi" w:hAnsiTheme="minorHAnsi" w:cs="Tahoma"/>
          <w:lang w:val="en-US" w:bidi="en-US"/>
        </w:rPr>
        <w:t xml:space="preserve">). </w:t>
      </w:r>
    </w:p>
    <w:p w:rsidR="002D06E6" w:rsidRPr="002D06E6" w:rsidRDefault="002D06E6" w:rsidP="002D06E6">
      <w:pPr>
        <w:spacing w:after="160" w:line="259" w:lineRule="auto"/>
        <w:ind w:left="360"/>
        <w:rPr>
          <w:rFonts w:ascii="Calibri" w:eastAsia="Calibri" w:hAnsi="Calibri"/>
          <w:sz w:val="24"/>
          <w:szCs w:val="24"/>
        </w:rPr>
      </w:pPr>
    </w:p>
    <w:p w:rsidR="00DD0895" w:rsidRDefault="002D06E6" w:rsidP="0088207E">
      <w:pPr>
        <w:pStyle w:val="Heading1"/>
      </w:pPr>
      <w:bookmarkStart w:id="4" w:name="_Toc185589608"/>
      <w:r w:rsidRPr="002D06E6">
        <w:t>DATA PROTECTION</w:t>
      </w:r>
      <w:bookmarkEnd w:id="4"/>
    </w:p>
    <w:p w:rsidR="00DD0895" w:rsidRPr="00DD0895" w:rsidRDefault="00DD0895" w:rsidP="00DD0895">
      <w:pPr>
        <w:pStyle w:val="ListParagraph"/>
        <w:overflowPunct w:val="0"/>
        <w:autoSpaceDE w:val="0"/>
        <w:autoSpaceDN w:val="0"/>
        <w:adjustRightInd w:val="0"/>
        <w:spacing w:before="120" w:after="120"/>
        <w:ind w:left="360"/>
        <w:jc w:val="both"/>
        <w:textAlignment w:val="baseline"/>
        <w:rPr>
          <w:rFonts w:asciiTheme="minorHAnsi" w:hAnsiTheme="minorHAnsi" w:cs="Tahoma"/>
        </w:rPr>
      </w:pPr>
    </w:p>
    <w:p w:rsidR="002D06E6" w:rsidRPr="00DD0895" w:rsidRDefault="002D06E6" w:rsidP="00DD0895">
      <w:pPr>
        <w:pStyle w:val="ListParagraph"/>
        <w:numPr>
          <w:ilvl w:val="1"/>
          <w:numId w:val="16"/>
        </w:numPr>
        <w:spacing w:before="120"/>
        <w:rPr>
          <w:rFonts w:asciiTheme="minorHAnsi" w:hAnsiTheme="minorHAnsi" w:cs="Tahoma"/>
        </w:rPr>
      </w:pPr>
      <w:r w:rsidRPr="00DD0895">
        <w:rPr>
          <w:rFonts w:asciiTheme="minorHAnsi" w:hAnsiTheme="minorHAnsi" w:cs="Tahoma"/>
          <w:lang w:val="en-US" w:bidi="en-US"/>
        </w:rPr>
        <w:t xml:space="preserve">In this </w:t>
      </w:r>
      <w:r w:rsidR="002119A3">
        <w:rPr>
          <w:rFonts w:asciiTheme="minorHAnsi" w:hAnsiTheme="minorHAnsi" w:cs="Tahoma"/>
          <w:lang w:val="en-US" w:bidi="en-US"/>
        </w:rPr>
        <w:t>MOU</w:t>
      </w:r>
      <w:r w:rsidRPr="00DD0895">
        <w:rPr>
          <w:rFonts w:asciiTheme="minorHAnsi" w:hAnsiTheme="minorHAnsi" w:cs="Tahoma"/>
          <w:lang w:val="en-US" w:bidi="en-US"/>
        </w:rPr>
        <w:t>, the following definitions shall apply:</w:t>
      </w:r>
    </w:p>
    <w:p w:rsidR="00DD0895" w:rsidRPr="00DD0895" w:rsidRDefault="00DD0895" w:rsidP="00DD0895">
      <w:pPr>
        <w:pStyle w:val="ListParagraph"/>
        <w:spacing w:before="120"/>
        <w:ind w:left="792"/>
        <w:rPr>
          <w:rFonts w:asciiTheme="minorHAnsi" w:hAnsiTheme="minorHAnsi" w:cs="Tahoma"/>
        </w:rPr>
      </w:pPr>
    </w:p>
    <w:p w:rsidR="002D06E6" w:rsidRPr="002D06E6" w:rsidRDefault="002D06E6" w:rsidP="00DD0895">
      <w:pPr>
        <w:pStyle w:val="ListParagraph"/>
        <w:numPr>
          <w:ilvl w:val="2"/>
          <w:numId w:val="16"/>
        </w:numPr>
        <w:spacing w:before="120"/>
        <w:rPr>
          <w:rFonts w:asciiTheme="minorHAnsi" w:hAnsiTheme="minorHAnsi" w:cs="Tahoma"/>
          <w:lang w:val="en-US" w:bidi="en-US"/>
        </w:rPr>
      </w:pPr>
      <w:r w:rsidRPr="002D06E6">
        <w:rPr>
          <w:rFonts w:asciiTheme="minorHAnsi" w:hAnsiTheme="minorHAnsi" w:cs="Tahoma"/>
          <w:b/>
          <w:bCs/>
          <w:lang w:val="en-US" w:bidi="en-US"/>
        </w:rPr>
        <w:t>“Controller”, “Data Subject”, “Processor”, “processed”, “personal data”, “Personal Data Breach”</w:t>
      </w:r>
      <w:r w:rsidRPr="002D06E6">
        <w:rPr>
          <w:rFonts w:asciiTheme="minorHAnsi" w:hAnsiTheme="minorHAnsi" w:cs="Tahoma"/>
          <w:lang w:val="en-US" w:bidi="en-US"/>
        </w:rPr>
        <w:t xml:space="preserve"> have the meanings given to them in the Data Protection Legislation.</w:t>
      </w:r>
      <w:r w:rsidRPr="002D06E6">
        <w:rPr>
          <w:rFonts w:asciiTheme="minorHAnsi" w:hAnsiTheme="minorHAnsi" w:cs="Tahoma"/>
          <w:lang w:val="en-US" w:bidi="en-US"/>
        </w:rPr>
        <w:br/>
      </w:r>
    </w:p>
    <w:p w:rsidR="002D06E6" w:rsidRPr="002D06E6" w:rsidRDefault="002D06E6" w:rsidP="00DD0895">
      <w:pPr>
        <w:pStyle w:val="ListParagraph"/>
        <w:numPr>
          <w:ilvl w:val="2"/>
          <w:numId w:val="16"/>
        </w:numPr>
        <w:spacing w:before="120"/>
        <w:rPr>
          <w:rFonts w:asciiTheme="minorHAnsi" w:hAnsiTheme="minorHAnsi" w:cs="Tahoma"/>
          <w:lang w:val="en-US" w:bidi="en-US"/>
        </w:rPr>
      </w:pPr>
      <w:r w:rsidRPr="002D06E6">
        <w:rPr>
          <w:rFonts w:asciiTheme="minorHAnsi" w:hAnsiTheme="minorHAnsi" w:cs="Tahoma"/>
          <w:b/>
          <w:bCs/>
          <w:lang w:val="en-US" w:bidi="en-US"/>
        </w:rPr>
        <w:t>“Data Protection Legislation”</w:t>
      </w:r>
      <w:r w:rsidRPr="002D06E6">
        <w:rPr>
          <w:rFonts w:asciiTheme="minorHAnsi" w:hAnsiTheme="minorHAnsi" w:cs="Tahoma"/>
          <w:lang w:val="en-US" w:bidi="en-US"/>
        </w:rPr>
        <w:t xml:space="preserve"> means all applicable data protection and privacy legislation in force from time to time in the UK including without limitation the UK GDPR; the Data Protection Act 2018 (and regulations made thereunder) (“DPA 2018”); the Privacy and Electronic Communications Regulations 2003 (SI 2003/2426) as amended; and the guidance and codes of practice issued by the UK’s Information Commissioner or other relevant authority, and which are applicable to a party.</w:t>
      </w:r>
      <w:r w:rsidRPr="002D06E6">
        <w:rPr>
          <w:rFonts w:asciiTheme="minorHAnsi" w:hAnsiTheme="minorHAnsi" w:cs="Tahoma"/>
          <w:lang w:val="en-US" w:bidi="en-US"/>
        </w:rPr>
        <w:br/>
      </w:r>
    </w:p>
    <w:p w:rsidR="002D06E6" w:rsidRPr="00793FBC" w:rsidRDefault="002D06E6" w:rsidP="00793FBC">
      <w:pPr>
        <w:pStyle w:val="ListParagraph"/>
        <w:numPr>
          <w:ilvl w:val="2"/>
          <w:numId w:val="16"/>
        </w:numPr>
        <w:spacing w:before="120"/>
        <w:rPr>
          <w:rFonts w:asciiTheme="minorHAnsi" w:hAnsiTheme="minorHAnsi" w:cs="Tahoma"/>
          <w:lang w:val="en-US" w:bidi="en-US"/>
        </w:rPr>
      </w:pPr>
      <w:r w:rsidRPr="002D06E6">
        <w:rPr>
          <w:rFonts w:asciiTheme="minorHAnsi" w:hAnsiTheme="minorHAnsi" w:cs="Tahoma"/>
          <w:b/>
          <w:bCs/>
          <w:lang w:val="en-US" w:bidi="en-US"/>
        </w:rPr>
        <w:t>“UK GDPR”</w:t>
      </w:r>
      <w:r w:rsidRPr="002D06E6">
        <w:rPr>
          <w:rFonts w:asciiTheme="minorHAnsi" w:hAnsiTheme="minorHAnsi" w:cs="Tahoma"/>
          <w:lang w:val="en-US" w:bidi="en-US"/>
        </w:rPr>
        <w:t xml:space="preserve"> has the meaning given to it in section 3(10) (as supplemented by section 205(4)) of the DPA 2018.</w:t>
      </w:r>
    </w:p>
    <w:p w:rsidR="00793FBC" w:rsidRDefault="00793FBC" w:rsidP="00793FBC">
      <w:pPr>
        <w:pStyle w:val="ListParagraph"/>
        <w:spacing w:before="120"/>
        <w:ind w:left="792"/>
        <w:rPr>
          <w:rFonts w:asciiTheme="minorHAnsi" w:hAnsiTheme="minorHAnsi" w:cs="Tahoma"/>
          <w:lang w:val="en-US" w:bidi="en-US"/>
        </w:rPr>
      </w:pPr>
    </w:p>
    <w:p w:rsidR="002D06E6" w:rsidRDefault="002D06E6" w:rsidP="00793FBC">
      <w:pPr>
        <w:pStyle w:val="ListParagraph"/>
        <w:numPr>
          <w:ilvl w:val="1"/>
          <w:numId w:val="16"/>
        </w:numPr>
        <w:spacing w:before="120"/>
        <w:rPr>
          <w:rFonts w:asciiTheme="minorHAnsi" w:hAnsiTheme="minorHAnsi" w:cs="Tahoma"/>
          <w:lang w:val="en-US" w:bidi="en-US"/>
        </w:rPr>
      </w:pPr>
      <w:r w:rsidRPr="002D06E6">
        <w:rPr>
          <w:rFonts w:asciiTheme="minorHAnsi" w:hAnsiTheme="minorHAnsi" w:cs="Tahoma"/>
          <w:lang w:val="en-US" w:bidi="en-US"/>
        </w:rPr>
        <w:t>It is anticipated that the majority processing of the MME shared by the Relevant Police Force to the CPS via DEMS links will be undertaken for law enforcement purposes by competent authorities and that, consequently, Part 3 of the DPA 2018 will apply.</w:t>
      </w:r>
    </w:p>
    <w:p w:rsidR="00793FBC" w:rsidRPr="00793FBC" w:rsidRDefault="00793FBC" w:rsidP="00793FBC">
      <w:pPr>
        <w:pStyle w:val="ListParagraph"/>
        <w:spacing w:before="120"/>
        <w:ind w:left="792"/>
        <w:rPr>
          <w:rFonts w:asciiTheme="minorHAnsi" w:hAnsiTheme="minorHAnsi" w:cs="Tahoma"/>
          <w:lang w:val="en-US" w:bidi="en-US"/>
        </w:rPr>
      </w:pPr>
    </w:p>
    <w:p w:rsidR="002D06E6" w:rsidRPr="00793FBC" w:rsidRDefault="002D06E6" w:rsidP="00793FBC">
      <w:pPr>
        <w:pStyle w:val="ListParagraph"/>
        <w:numPr>
          <w:ilvl w:val="1"/>
          <w:numId w:val="16"/>
        </w:numPr>
        <w:spacing w:before="120"/>
        <w:rPr>
          <w:rFonts w:asciiTheme="minorHAnsi" w:hAnsiTheme="minorHAnsi" w:cs="Tahoma"/>
          <w:lang w:val="en-US" w:bidi="en-US"/>
        </w:rPr>
      </w:pPr>
      <w:r w:rsidRPr="002D06E6">
        <w:rPr>
          <w:rFonts w:asciiTheme="minorHAnsi" w:hAnsiTheme="minorHAnsi" w:cs="Tahoma"/>
          <w:lang w:val="en-US" w:bidi="en-US"/>
        </w:rPr>
        <w:t xml:space="preserve">In relation to any personal data contained within the MME processed under this </w:t>
      </w:r>
      <w:r w:rsidR="002119A3">
        <w:rPr>
          <w:rFonts w:asciiTheme="minorHAnsi" w:hAnsiTheme="minorHAnsi" w:cs="Tahoma"/>
          <w:lang w:val="en-US" w:bidi="en-US"/>
        </w:rPr>
        <w:t>MOU</w:t>
      </w:r>
      <w:r w:rsidRPr="002D06E6">
        <w:rPr>
          <w:rFonts w:asciiTheme="minorHAnsi" w:hAnsiTheme="minorHAnsi" w:cs="Tahoma"/>
          <w:lang w:val="en-US" w:bidi="en-US"/>
        </w:rPr>
        <w:t>, the parties acknowledge and agree that:</w:t>
      </w:r>
      <w:r w:rsidR="0043534C">
        <w:rPr>
          <w:rFonts w:asciiTheme="minorHAnsi" w:hAnsiTheme="minorHAnsi" w:cs="Tahoma"/>
          <w:lang w:val="en-US" w:bidi="en-US"/>
        </w:rPr>
        <w:br/>
      </w:r>
    </w:p>
    <w:p w:rsidR="002D06E6" w:rsidRPr="002D06E6" w:rsidRDefault="002D06E6" w:rsidP="000D75CA">
      <w:pPr>
        <w:pStyle w:val="ListParagraph"/>
        <w:numPr>
          <w:ilvl w:val="2"/>
          <w:numId w:val="16"/>
        </w:numPr>
        <w:spacing w:before="120"/>
        <w:rPr>
          <w:rFonts w:asciiTheme="minorHAnsi" w:hAnsiTheme="minorHAnsi" w:cs="Tahoma"/>
          <w:lang w:val="en-US" w:bidi="en-US"/>
        </w:rPr>
      </w:pPr>
      <w:r w:rsidRPr="002D06E6">
        <w:rPr>
          <w:rFonts w:asciiTheme="minorHAnsi" w:hAnsiTheme="minorHAnsi" w:cs="Tahoma"/>
          <w:lang w:val="en-US" w:bidi="en-US"/>
        </w:rPr>
        <w:t>The Relevant Police Force will be the Controller for all personal data held on a secure police system and the CPS will become a Controller for any personal data that is shared with it via DEMS links by the Relevant Police Force at the point the media is streamed on a CPS device, downloaded or the received DEMS link shared by the CPS. (See Annex 1 for a flow diagram).</w:t>
      </w:r>
      <w:r w:rsidRPr="002D06E6">
        <w:rPr>
          <w:rFonts w:asciiTheme="minorHAnsi" w:hAnsiTheme="minorHAnsi" w:cs="Tahoma"/>
          <w:lang w:val="en-US" w:bidi="en-US"/>
        </w:rPr>
        <w:br/>
      </w:r>
    </w:p>
    <w:p w:rsidR="002D06E6" w:rsidRPr="002D06E6" w:rsidRDefault="002D06E6" w:rsidP="000D75CA">
      <w:pPr>
        <w:pStyle w:val="ListParagraph"/>
        <w:numPr>
          <w:ilvl w:val="2"/>
          <w:numId w:val="16"/>
        </w:numPr>
        <w:spacing w:before="120"/>
        <w:rPr>
          <w:rFonts w:asciiTheme="minorHAnsi" w:hAnsiTheme="minorHAnsi" w:cs="Tahoma"/>
          <w:lang w:val="en-US" w:bidi="en-US"/>
        </w:rPr>
      </w:pPr>
      <w:r w:rsidRPr="002D06E6">
        <w:rPr>
          <w:rFonts w:asciiTheme="minorHAnsi" w:hAnsiTheme="minorHAnsi" w:cs="Tahoma"/>
          <w:lang w:val="en-US" w:bidi="en-US"/>
        </w:rPr>
        <w:t xml:space="preserve">Each party shall comply with the Data Protection Legislation in connection with this </w:t>
      </w:r>
      <w:r w:rsidR="002119A3">
        <w:rPr>
          <w:rFonts w:asciiTheme="minorHAnsi" w:hAnsiTheme="minorHAnsi" w:cs="Tahoma"/>
          <w:lang w:val="en-US" w:bidi="en-US"/>
        </w:rPr>
        <w:t>MOU</w:t>
      </w:r>
      <w:r w:rsidRPr="002D06E6">
        <w:rPr>
          <w:rFonts w:asciiTheme="minorHAnsi" w:hAnsiTheme="minorHAnsi" w:cs="Tahoma"/>
          <w:lang w:val="en-US" w:bidi="en-US"/>
        </w:rPr>
        <w:t xml:space="preserve"> and neither party shall, by its acts or omissions, cause the other party to breach its respective obligations under the Data Protection Legislation.</w:t>
      </w:r>
    </w:p>
    <w:p w:rsidR="002D06E6" w:rsidRPr="002D06E6" w:rsidRDefault="002D06E6" w:rsidP="000D75CA">
      <w:pPr>
        <w:pStyle w:val="ListParagraph"/>
        <w:spacing w:before="120"/>
        <w:ind w:left="1224"/>
        <w:rPr>
          <w:rFonts w:asciiTheme="minorHAnsi" w:hAnsiTheme="minorHAnsi" w:cs="Tahoma"/>
          <w:lang w:val="en-US" w:bidi="en-US"/>
        </w:rPr>
      </w:pPr>
    </w:p>
    <w:p w:rsidR="006D4393" w:rsidRPr="006D4393" w:rsidRDefault="002D06E6" w:rsidP="006D4393">
      <w:pPr>
        <w:pStyle w:val="ListParagraph"/>
        <w:numPr>
          <w:ilvl w:val="2"/>
          <w:numId w:val="16"/>
        </w:numPr>
        <w:spacing w:before="120"/>
        <w:rPr>
          <w:rFonts w:ascii="Calibri" w:eastAsia="Calibri" w:hAnsi="Calibri"/>
        </w:rPr>
      </w:pPr>
      <w:r w:rsidRPr="002D06E6">
        <w:rPr>
          <w:rFonts w:asciiTheme="minorHAnsi" w:hAnsiTheme="minorHAnsi" w:cs="Tahoma"/>
          <w:lang w:val="en-US" w:bidi="en-US"/>
        </w:rPr>
        <w:t>The lawful basis for processing the personal data shared via DEMS will be as follows:</w:t>
      </w:r>
    </w:p>
    <w:p w:rsidR="006D4393" w:rsidRPr="006D4393" w:rsidRDefault="006D4393" w:rsidP="006D4393">
      <w:pPr>
        <w:pStyle w:val="ListParagraph"/>
        <w:rPr>
          <w:rFonts w:ascii="Calibri" w:eastAsia="Calibri" w:hAnsi="Calibri"/>
        </w:rPr>
      </w:pPr>
    </w:p>
    <w:p w:rsidR="006D4393" w:rsidRDefault="002D06E6" w:rsidP="006D4393">
      <w:pPr>
        <w:pStyle w:val="ListParagraph"/>
        <w:numPr>
          <w:ilvl w:val="3"/>
          <w:numId w:val="16"/>
        </w:numPr>
        <w:spacing w:before="120"/>
        <w:rPr>
          <w:rFonts w:ascii="Calibri" w:eastAsia="Calibri" w:hAnsi="Calibri"/>
        </w:rPr>
      </w:pPr>
      <w:r w:rsidRPr="006D4393">
        <w:rPr>
          <w:rFonts w:ascii="Calibri" w:eastAsia="Calibri" w:hAnsi="Calibri"/>
        </w:rPr>
        <w:t>the processing is necessary for the performance of a task carried out for a law enforcement purpose by a competent authority (DPA 2018 s35(2)(b)); and</w:t>
      </w:r>
      <w:r w:rsidR="00027B1A">
        <w:rPr>
          <w:rFonts w:ascii="Calibri" w:eastAsia="Calibri" w:hAnsi="Calibri"/>
        </w:rPr>
        <w:br/>
      </w:r>
    </w:p>
    <w:p w:rsidR="00027B1A" w:rsidRDefault="002D06E6" w:rsidP="00027B1A">
      <w:pPr>
        <w:pStyle w:val="ListParagraph"/>
        <w:numPr>
          <w:ilvl w:val="3"/>
          <w:numId w:val="16"/>
        </w:numPr>
        <w:spacing w:before="120"/>
        <w:rPr>
          <w:rFonts w:ascii="Calibri" w:eastAsia="Calibri" w:hAnsi="Calibri"/>
        </w:rPr>
      </w:pPr>
      <w:r w:rsidRPr="006D4393">
        <w:rPr>
          <w:rFonts w:ascii="Calibri" w:eastAsia="Calibri" w:hAnsi="Calibri"/>
        </w:rPr>
        <w:t>where the processing for any of the law enforcement purposes is sensitive processing, either:</w:t>
      </w:r>
    </w:p>
    <w:p w:rsidR="00027B1A" w:rsidRDefault="002D06E6" w:rsidP="00027B1A">
      <w:pPr>
        <w:pStyle w:val="ListParagraph"/>
        <w:numPr>
          <w:ilvl w:val="4"/>
          <w:numId w:val="16"/>
        </w:numPr>
        <w:spacing w:before="120"/>
        <w:rPr>
          <w:rFonts w:ascii="Calibri" w:eastAsia="Calibri" w:hAnsi="Calibri"/>
        </w:rPr>
      </w:pPr>
      <w:r w:rsidRPr="00027B1A">
        <w:rPr>
          <w:rFonts w:ascii="Calibri" w:eastAsia="Calibri" w:hAnsi="Calibri"/>
        </w:rPr>
        <w:t>at the time when the processing is carried out, the controller has an appropriate policy document in place (DPA 2018 s35(4)(b)); or</w:t>
      </w:r>
    </w:p>
    <w:p w:rsidR="002D06E6" w:rsidRPr="00027B1A" w:rsidRDefault="002D06E6" w:rsidP="00027B1A">
      <w:pPr>
        <w:pStyle w:val="ListParagraph"/>
        <w:numPr>
          <w:ilvl w:val="4"/>
          <w:numId w:val="16"/>
        </w:numPr>
        <w:spacing w:before="120"/>
        <w:rPr>
          <w:rFonts w:ascii="Calibri" w:eastAsia="Calibri" w:hAnsi="Calibri"/>
        </w:rPr>
      </w:pPr>
      <w:r w:rsidRPr="00027B1A">
        <w:rPr>
          <w:rFonts w:ascii="Calibri" w:eastAsia="Calibri" w:hAnsi="Calibri"/>
        </w:rPr>
        <w:t xml:space="preserve">the processing is strictly necessary for the law enforcement purpose, the processing meets at least one of the conditions in Schedule 8 of the DPA 2018 and at the time when the processing is carried out, the controller has an appropriate policy document in place (DPA 2018 s35(5)). </w:t>
      </w:r>
      <w:r w:rsidRPr="00027B1A">
        <w:rPr>
          <w:rFonts w:ascii="Calibri" w:eastAsia="Calibri" w:hAnsi="Calibri"/>
        </w:rPr>
        <w:br/>
      </w:r>
    </w:p>
    <w:p w:rsidR="002D06E6" w:rsidRPr="002D06E6" w:rsidRDefault="002D06E6" w:rsidP="00AA2D0F">
      <w:pPr>
        <w:pStyle w:val="ListParagraph"/>
        <w:numPr>
          <w:ilvl w:val="2"/>
          <w:numId w:val="16"/>
        </w:numPr>
        <w:spacing w:before="120"/>
        <w:rPr>
          <w:rFonts w:ascii="Calibri" w:eastAsia="Calibri" w:hAnsi="Calibri"/>
        </w:rPr>
      </w:pPr>
      <w:r w:rsidRPr="002D06E6">
        <w:rPr>
          <w:rFonts w:ascii="Calibri" w:eastAsia="Calibri" w:hAnsi="Calibri"/>
        </w:rPr>
        <w:t xml:space="preserve">To the extent required by relevant Data Protection Legislation, each party shall ensure that adequate fair processing notices are available for relevant Data Subjects and are sufficient in scope to enable each party to process the personal data as required, in order to obtain the benefit of its rights and to fulfil its obligations under this </w:t>
      </w:r>
      <w:r w:rsidR="002119A3">
        <w:rPr>
          <w:rFonts w:ascii="Calibri" w:eastAsia="Calibri" w:hAnsi="Calibri"/>
        </w:rPr>
        <w:t>MOU</w:t>
      </w:r>
      <w:r w:rsidRPr="002D06E6">
        <w:rPr>
          <w:rFonts w:ascii="Calibri" w:eastAsia="Calibri" w:hAnsi="Calibri"/>
        </w:rPr>
        <w:t xml:space="preserve"> in accordance with the Data Protection Legislation.</w:t>
      </w:r>
    </w:p>
    <w:p w:rsidR="002D06E6" w:rsidRPr="002D06E6" w:rsidRDefault="002D06E6" w:rsidP="00AA2D0F">
      <w:pPr>
        <w:pStyle w:val="ListParagraph"/>
        <w:spacing w:before="120"/>
        <w:ind w:left="1224"/>
        <w:rPr>
          <w:rFonts w:ascii="Calibri" w:eastAsia="Calibri" w:hAnsi="Calibri"/>
        </w:rPr>
      </w:pPr>
    </w:p>
    <w:p w:rsidR="002D06E6" w:rsidRPr="002D06E6" w:rsidRDefault="002D06E6" w:rsidP="00AA2D0F">
      <w:pPr>
        <w:pStyle w:val="ListParagraph"/>
        <w:numPr>
          <w:ilvl w:val="2"/>
          <w:numId w:val="16"/>
        </w:numPr>
        <w:spacing w:before="120"/>
        <w:rPr>
          <w:rFonts w:ascii="Calibri" w:eastAsia="Calibri" w:hAnsi="Calibri"/>
        </w:rPr>
      </w:pPr>
      <w:r w:rsidRPr="002D06E6">
        <w:rPr>
          <w:rFonts w:ascii="Calibri" w:eastAsia="Calibri" w:hAnsi="Calibri"/>
        </w:rPr>
        <w:t xml:space="preserve">The Relevant Police Force will ensure that an appropriate police officer (the “Officer”) has viewed the MME before its submission via DEMS link to the CPS to confirm it is relevant, is appropriately clipped and/or redacted where necessary and is retained in compliance with the CPIA Code of Practice and the Attorney General’s Guidelines on Disclosure 2022 (as applicable). </w:t>
      </w:r>
      <w:r w:rsidRPr="002D06E6">
        <w:rPr>
          <w:rFonts w:ascii="Calibri" w:eastAsia="Calibri" w:hAnsi="Calibri"/>
        </w:rPr>
        <w:br/>
      </w:r>
    </w:p>
    <w:p w:rsidR="002D06E6" w:rsidRPr="002D06E6" w:rsidRDefault="002D06E6" w:rsidP="00AA2D0F">
      <w:pPr>
        <w:pStyle w:val="ListParagraph"/>
        <w:numPr>
          <w:ilvl w:val="2"/>
          <w:numId w:val="16"/>
        </w:numPr>
        <w:spacing w:before="120"/>
        <w:rPr>
          <w:rFonts w:ascii="Calibri" w:eastAsia="Calibri" w:hAnsi="Calibri"/>
        </w:rPr>
      </w:pPr>
      <w:r w:rsidRPr="002D06E6">
        <w:rPr>
          <w:rFonts w:ascii="Calibri" w:eastAsia="Calibri" w:hAnsi="Calibri"/>
        </w:rPr>
        <w:t>The CPS will be responsible for ensuring that any personal data it receives from the Relevant Police Force via DEMS link, is processed in accordance with Data Protection Legislation, any relevant guidance and the DEMS Data Sharing Code at Annex 2. This includes, but is not limited to, ensuring that: (i) the CPS only shares with a third party the information it receives from the Relevant Police Force where strictly necessary for the purpose that it was provided to the CPS or in compliance with the CPS’ statutory requirements and (ii) there is no disclosure of any information shared via DEMS link to an incorrect email address or unauthorised third party.</w:t>
      </w:r>
    </w:p>
    <w:p w:rsidR="002D06E6" w:rsidRPr="002D06E6" w:rsidRDefault="002D06E6" w:rsidP="00AA2D0F">
      <w:pPr>
        <w:pStyle w:val="ListParagraph"/>
        <w:spacing w:before="120"/>
        <w:ind w:left="1224"/>
        <w:rPr>
          <w:rFonts w:ascii="Calibri" w:eastAsia="Calibri" w:hAnsi="Calibri"/>
        </w:rPr>
      </w:pPr>
    </w:p>
    <w:p w:rsidR="002D06E6" w:rsidRPr="002D06E6" w:rsidRDefault="002D06E6" w:rsidP="00AA2D0F">
      <w:pPr>
        <w:pStyle w:val="ListParagraph"/>
        <w:numPr>
          <w:ilvl w:val="2"/>
          <w:numId w:val="16"/>
        </w:numPr>
        <w:spacing w:before="120"/>
        <w:rPr>
          <w:rFonts w:ascii="Calibri" w:eastAsia="Calibri" w:hAnsi="Calibri"/>
        </w:rPr>
      </w:pPr>
      <w:r w:rsidRPr="002D06E6">
        <w:rPr>
          <w:rFonts w:ascii="Calibri" w:eastAsia="Calibri" w:hAnsi="Calibri"/>
        </w:rPr>
        <w:t>The Police remain as the Data Controller for all data while it remains on a secure police system, while the CPS becomes the Data Controller for the received links where the link or media is downloaded or shared by the CPS. Where data is streamed from a secure police system to a CPS device, the police are the controller of the stored data and CPS are the controller for the streamed information on their device.</w:t>
      </w:r>
      <w:r w:rsidRPr="002D06E6">
        <w:rPr>
          <w:rFonts w:ascii="Calibri" w:eastAsia="Calibri" w:hAnsi="Calibri"/>
        </w:rPr>
        <w:br/>
      </w:r>
    </w:p>
    <w:p w:rsidR="002D06E6" w:rsidRPr="002D06E6" w:rsidRDefault="002D06E6" w:rsidP="00AA2D0F">
      <w:pPr>
        <w:pStyle w:val="ListParagraph"/>
        <w:numPr>
          <w:ilvl w:val="2"/>
          <w:numId w:val="16"/>
        </w:numPr>
        <w:spacing w:before="120"/>
        <w:rPr>
          <w:rFonts w:ascii="Calibri" w:eastAsia="Calibri" w:hAnsi="Calibri"/>
        </w:rPr>
      </w:pPr>
      <w:r w:rsidRPr="002D06E6">
        <w:rPr>
          <w:rFonts w:ascii="Calibri" w:eastAsia="Calibri" w:hAnsi="Calibri"/>
        </w:rPr>
        <w:t>The CPS is responsible for ensuring that the viewing of the media, whether streamed or viewed from a downloaded copy, is done in an appropriate environment where the media cannot be seen or heard by unauthorised third parties.</w:t>
      </w:r>
      <w:r w:rsidRPr="002D06E6">
        <w:rPr>
          <w:rFonts w:ascii="Calibri" w:eastAsia="Calibri" w:hAnsi="Calibri"/>
        </w:rPr>
        <w:br/>
      </w:r>
    </w:p>
    <w:p w:rsidR="002D06E6" w:rsidRPr="002D06E6" w:rsidRDefault="002D06E6" w:rsidP="00AA2D0F">
      <w:pPr>
        <w:pStyle w:val="ListParagraph"/>
        <w:numPr>
          <w:ilvl w:val="2"/>
          <w:numId w:val="16"/>
        </w:numPr>
        <w:spacing w:before="120"/>
        <w:rPr>
          <w:rFonts w:ascii="Calibri" w:eastAsia="Calibri" w:hAnsi="Calibri"/>
        </w:rPr>
      </w:pPr>
      <w:r w:rsidRPr="002D06E6">
        <w:rPr>
          <w:rFonts w:ascii="Calibri" w:eastAsia="Calibri" w:hAnsi="Calibri"/>
        </w:rPr>
        <w:t>Defence representatives or H</w:t>
      </w:r>
      <w:r w:rsidR="00214407">
        <w:rPr>
          <w:rFonts w:ascii="Calibri" w:eastAsia="Calibri" w:hAnsi="Calibri"/>
        </w:rPr>
        <w:t>is</w:t>
      </w:r>
      <w:r w:rsidRPr="002D06E6">
        <w:rPr>
          <w:rFonts w:ascii="Calibri" w:eastAsia="Calibri" w:hAnsi="Calibri"/>
        </w:rPr>
        <w:t xml:space="preserve"> Majesty’s Court and Tribunal Service (HMCTS) become Data Controllers following receipt of the multimedia. CPS have a statutory responsibility to serve evidence on Defence representatives who are then bound by Professional Standards to manage shared data and then become the Data Controllers if downloading or onward sharing any data. This MOU does not cover the handling of data by HMCTS or the defence. </w:t>
      </w:r>
      <w:r w:rsidRPr="002D06E6">
        <w:rPr>
          <w:rFonts w:ascii="Calibri" w:eastAsia="Calibri" w:hAnsi="Calibri"/>
        </w:rPr>
        <w:br/>
      </w:r>
    </w:p>
    <w:p w:rsidR="002D06E6" w:rsidRPr="002D06E6" w:rsidRDefault="002D06E6" w:rsidP="00AA2D0F">
      <w:pPr>
        <w:pStyle w:val="ListParagraph"/>
        <w:numPr>
          <w:ilvl w:val="2"/>
          <w:numId w:val="16"/>
        </w:numPr>
        <w:spacing w:before="120"/>
        <w:rPr>
          <w:rFonts w:ascii="Calibri" w:eastAsia="Calibri" w:hAnsi="Calibri"/>
        </w:rPr>
      </w:pPr>
      <w:r w:rsidRPr="002D06E6">
        <w:rPr>
          <w:rFonts w:ascii="Calibri" w:eastAsia="Calibri" w:hAnsi="Calibri"/>
        </w:rPr>
        <w:t xml:space="preserve">This process is illustrated in </w:t>
      </w:r>
      <w:r w:rsidRPr="002D06E6">
        <w:rPr>
          <w:rFonts w:ascii="Calibri" w:eastAsia="Calibri" w:hAnsi="Calibri"/>
          <w:u w:val="single"/>
        </w:rPr>
        <w:t>Annex1 – Data Controller Responsibilities</w:t>
      </w:r>
      <w:r w:rsidRPr="002D06E6">
        <w:rPr>
          <w:rFonts w:ascii="Calibri" w:eastAsia="Calibri" w:hAnsi="Calibri"/>
        </w:rPr>
        <w:t>.</w:t>
      </w:r>
      <w:r w:rsidRPr="002D06E6">
        <w:rPr>
          <w:rFonts w:ascii="Calibri" w:eastAsia="Calibri" w:hAnsi="Calibri"/>
        </w:rPr>
        <w:br/>
      </w:r>
    </w:p>
    <w:p w:rsidR="002D06E6" w:rsidRPr="002D06E6" w:rsidRDefault="002D06E6" w:rsidP="00AA2D0F">
      <w:pPr>
        <w:pStyle w:val="ListParagraph"/>
        <w:numPr>
          <w:ilvl w:val="2"/>
          <w:numId w:val="16"/>
        </w:numPr>
        <w:spacing w:before="120"/>
        <w:rPr>
          <w:rFonts w:ascii="Calibri" w:eastAsia="Calibri" w:hAnsi="Calibri"/>
        </w:rPr>
      </w:pPr>
      <w:r w:rsidRPr="002D06E6">
        <w:rPr>
          <w:rFonts w:ascii="Calibri" w:eastAsia="Calibri" w:hAnsi="Calibri"/>
        </w:rPr>
        <w:t>A Criminal Justice Secure email (CJSM) address is required to access any MME provided to the CPS by the Relevant Police Force via DEMS link and it is a CPS responsibility to ensure MME is issued only to such addresses where it is providing access to the MME to its personnel or any other third party.</w:t>
      </w:r>
      <w:r w:rsidRPr="002D06E6">
        <w:rPr>
          <w:rFonts w:ascii="Calibri" w:eastAsia="Calibri" w:hAnsi="Calibri"/>
        </w:rPr>
        <w:br/>
      </w:r>
    </w:p>
    <w:p w:rsidR="002D06E6" w:rsidRPr="002D06E6" w:rsidRDefault="002D06E6" w:rsidP="0010567C">
      <w:pPr>
        <w:pStyle w:val="ListParagraph"/>
        <w:numPr>
          <w:ilvl w:val="2"/>
          <w:numId w:val="16"/>
        </w:numPr>
        <w:spacing w:before="120"/>
        <w:rPr>
          <w:rFonts w:ascii="Calibri" w:eastAsia="Calibri" w:hAnsi="Calibri"/>
        </w:rPr>
      </w:pPr>
      <w:r w:rsidRPr="002D06E6">
        <w:rPr>
          <w:rFonts w:ascii="Calibri" w:eastAsia="Calibri" w:hAnsi="Calibri"/>
        </w:rPr>
        <w:t xml:space="preserve">The CPS shall notify the Relevant Police Force in </w:t>
      </w:r>
      <w:r w:rsidRPr="0013403D">
        <w:rPr>
          <w:rFonts w:ascii="Calibri" w:eastAsia="Calibri" w:hAnsi="Calibri"/>
        </w:rPr>
        <w:t xml:space="preserve">writing </w:t>
      </w:r>
      <w:r w:rsidR="00A27EAD" w:rsidRPr="00677AA1">
        <w:rPr>
          <w:rFonts w:ascii="Calibri" w:eastAsia="Calibri" w:hAnsi="Calibri"/>
        </w:rPr>
        <w:t>via</w:t>
      </w:r>
      <w:r w:rsidR="0013403D" w:rsidRPr="00677AA1">
        <w:rPr>
          <w:rFonts w:ascii="Calibri" w:eastAsia="Calibri" w:hAnsi="Calibri"/>
        </w:rPr>
        <w:t xml:space="preserve"> the Data Protection </w:t>
      </w:r>
      <w:r w:rsidRPr="00677AA1">
        <w:rPr>
          <w:rFonts w:ascii="Calibri" w:eastAsia="Calibri" w:hAnsi="Calibri"/>
        </w:rPr>
        <w:t>without</w:t>
      </w:r>
      <w:r w:rsidRPr="002D06E6">
        <w:rPr>
          <w:rFonts w:ascii="Calibri" w:eastAsia="Calibri" w:hAnsi="Calibri"/>
        </w:rPr>
        <w:t xml:space="preserve"> undue delay and, in any event, within [twenty-four (24) hours] of it becoming aware of any actual or suspected Personal Data Breach, in relation to the MME still stored on a police DEMS system and shall, within such timescale to be agreed by the parties (acting reasonably and in good faith):</w:t>
      </w:r>
      <w:r w:rsidRPr="002D06E6">
        <w:rPr>
          <w:rFonts w:ascii="Calibri" w:eastAsia="Calibri" w:hAnsi="Calibri"/>
        </w:rPr>
        <w:br/>
      </w:r>
    </w:p>
    <w:p w:rsidR="002D06E6" w:rsidRPr="002D06E6" w:rsidRDefault="002D06E6" w:rsidP="0010567C">
      <w:pPr>
        <w:pStyle w:val="ListParagraph"/>
        <w:numPr>
          <w:ilvl w:val="3"/>
          <w:numId w:val="16"/>
        </w:numPr>
        <w:spacing w:before="120"/>
        <w:rPr>
          <w:rFonts w:ascii="Calibri" w:eastAsia="Calibri" w:hAnsi="Calibri"/>
        </w:rPr>
      </w:pPr>
      <w:r w:rsidRPr="002D06E6">
        <w:rPr>
          <w:rFonts w:ascii="Calibri" w:eastAsia="Calibri" w:hAnsi="Calibri"/>
        </w:rPr>
        <w:t>implement any measures necessary to restore the security of any compromised personal data; and</w:t>
      </w:r>
    </w:p>
    <w:p w:rsidR="002D06E6" w:rsidRPr="002D06E6" w:rsidRDefault="002D06E6" w:rsidP="0010567C">
      <w:pPr>
        <w:pStyle w:val="ListParagraph"/>
        <w:numPr>
          <w:ilvl w:val="3"/>
          <w:numId w:val="16"/>
        </w:numPr>
        <w:spacing w:before="120"/>
        <w:rPr>
          <w:rFonts w:ascii="Calibri" w:eastAsia="Calibri" w:hAnsi="Calibri"/>
        </w:rPr>
      </w:pPr>
      <w:r w:rsidRPr="002D06E6">
        <w:rPr>
          <w:rFonts w:ascii="Calibri" w:eastAsia="Calibri" w:hAnsi="Calibri"/>
        </w:rPr>
        <w:t>where the Relevant Police Force is the controller of the data, and to the extent required, CPS will provide support to make any required notifications to the Information Commissioner’s Office and/or other equivalent relevant regulator and affected data subjects.</w:t>
      </w:r>
      <w:r w:rsidRPr="002D06E6">
        <w:rPr>
          <w:rFonts w:ascii="Calibri" w:eastAsia="Calibri" w:hAnsi="Calibri"/>
        </w:rPr>
        <w:br/>
      </w:r>
    </w:p>
    <w:p w:rsidR="002D06E6" w:rsidRPr="002D06E6" w:rsidRDefault="002D06E6" w:rsidP="003A2AF7">
      <w:pPr>
        <w:pStyle w:val="ListParagraph"/>
        <w:numPr>
          <w:ilvl w:val="1"/>
          <w:numId w:val="16"/>
        </w:numPr>
        <w:spacing w:before="120"/>
        <w:rPr>
          <w:rFonts w:ascii="Calibri" w:eastAsia="Calibri" w:hAnsi="Calibri"/>
        </w:rPr>
      </w:pPr>
      <w:r w:rsidRPr="002D06E6">
        <w:rPr>
          <w:rFonts w:ascii="Calibri" w:eastAsia="Calibri" w:hAnsi="Calibri"/>
        </w:rPr>
        <w:t>Neither party shall do anything which shall damage the reputation of the other party or that party’s relationship with the Data Subjects.</w:t>
      </w:r>
    </w:p>
    <w:p w:rsidR="002D06E6" w:rsidRPr="002D06E6" w:rsidRDefault="002D06E6" w:rsidP="002D06E6">
      <w:pPr>
        <w:spacing w:after="160" w:line="259" w:lineRule="auto"/>
        <w:ind w:left="360"/>
        <w:rPr>
          <w:rFonts w:ascii="Calibri" w:eastAsia="Calibri" w:hAnsi="Calibri"/>
          <w:sz w:val="24"/>
          <w:szCs w:val="24"/>
        </w:rPr>
      </w:pPr>
    </w:p>
    <w:p w:rsidR="002D06E6" w:rsidRDefault="002D06E6" w:rsidP="0088207E">
      <w:pPr>
        <w:pStyle w:val="Heading1"/>
      </w:pPr>
      <w:bookmarkStart w:id="5" w:name="_Toc185589609"/>
      <w:r w:rsidRPr="002D06E6">
        <w:t>GATHERING AND RETENTION OF MME</w:t>
      </w:r>
      <w:bookmarkEnd w:id="5"/>
    </w:p>
    <w:p w:rsidR="00214C63" w:rsidRPr="002D06E6" w:rsidRDefault="00214C63" w:rsidP="00214C63">
      <w:pPr>
        <w:pStyle w:val="ListParagraph"/>
        <w:overflowPunct w:val="0"/>
        <w:autoSpaceDE w:val="0"/>
        <w:autoSpaceDN w:val="0"/>
        <w:adjustRightInd w:val="0"/>
        <w:spacing w:before="120" w:after="120"/>
        <w:ind w:left="360"/>
        <w:jc w:val="both"/>
        <w:textAlignment w:val="baseline"/>
        <w:rPr>
          <w:rFonts w:asciiTheme="minorHAnsi" w:hAnsiTheme="minorHAnsi" w:cs="Tahoma"/>
          <w:b/>
        </w:rPr>
      </w:pPr>
    </w:p>
    <w:p w:rsidR="002D06E6" w:rsidRPr="002D06E6" w:rsidRDefault="002D06E6" w:rsidP="00214C63">
      <w:pPr>
        <w:pStyle w:val="ListParagraph"/>
        <w:numPr>
          <w:ilvl w:val="1"/>
          <w:numId w:val="16"/>
        </w:numPr>
        <w:spacing w:before="120"/>
        <w:rPr>
          <w:rFonts w:ascii="Calibri" w:eastAsia="Calibri" w:hAnsi="Calibri"/>
        </w:rPr>
      </w:pPr>
      <w:r w:rsidRPr="002D06E6">
        <w:rPr>
          <w:rFonts w:ascii="Calibri" w:eastAsia="Calibri" w:hAnsi="Calibri"/>
        </w:rPr>
        <w:t>Data will be gathered, processed retained, reviewed and disposed of in line with relevant guidance. The retention categories are in line with the current NPCC’s National Guidance on the minimum standards for the Retention and Disposal of Police Records.</w:t>
      </w:r>
    </w:p>
    <w:p w:rsidR="002D06E6" w:rsidRPr="002D06E6" w:rsidRDefault="002D06E6" w:rsidP="00214C63">
      <w:pPr>
        <w:pStyle w:val="ListParagraph"/>
        <w:spacing w:before="120"/>
        <w:ind w:left="792"/>
        <w:rPr>
          <w:rFonts w:ascii="Calibri" w:eastAsia="Calibri" w:hAnsi="Calibri"/>
        </w:rPr>
      </w:pPr>
    </w:p>
    <w:p w:rsidR="002D06E6" w:rsidRPr="002D06E6" w:rsidRDefault="002D06E6" w:rsidP="00214C63">
      <w:pPr>
        <w:pStyle w:val="ListParagraph"/>
        <w:numPr>
          <w:ilvl w:val="1"/>
          <w:numId w:val="16"/>
        </w:numPr>
        <w:spacing w:before="120"/>
        <w:rPr>
          <w:rFonts w:ascii="Calibri" w:eastAsia="Calibri" w:hAnsi="Calibri"/>
        </w:rPr>
      </w:pPr>
      <w:r w:rsidRPr="002D06E6">
        <w:rPr>
          <w:rFonts w:ascii="Calibri" w:eastAsia="Calibri" w:hAnsi="Calibri"/>
        </w:rPr>
        <w:t xml:space="preserve">Digital Media must be available at every stage of the judicial process and media clips must remain playable and viewable whilst the case is in progress.  </w:t>
      </w:r>
      <w:r w:rsidRPr="002D06E6">
        <w:rPr>
          <w:rFonts w:ascii="Calibri" w:eastAsia="Calibri" w:hAnsi="Calibri"/>
        </w:rPr>
        <w:br/>
      </w:r>
    </w:p>
    <w:p w:rsidR="002D06E6" w:rsidRPr="002D06E6" w:rsidRDefault="002D06E6" w:rsidP="00214C63">
      <w:pPr>
        <w:pStyle w:val="ListParagraph"/>
        <w:numPr>
          <w:ilvl w:val="1"/>
          <w:numId w:val="16"/>
        </w:numPr>
        <w:spacing w:before="120"/>
        <w:rPr>
          <w:rFonts w:ascii="Calibri" w:eastAsia="Calibri" w:hAnsi="Calibri"/>
        </w:rPr>
      </w:pPr>
      <w:r w:rsidRPr="002D06E6">
        <w:rPr>
          <w:rFonts w:ascii="Calibri" w:eastAsia="Calibri" w:hAnsi="Calibri"/>
        </w:rPr>
        <w:t>The CPS will not retain any MME shared with it by the Relevant Police Force via DEMS links beyond case finalisation and any appeal deadlines in line with its own records management policy.</w:t>
      </w:r>
    </w:p>
    <w:p w:rsidR="002D06E6" w:rsidRPr="002D06E6" w:rsidRDefault="002D06E6" w:rsidP="002D06E6">
      <w:pPr>
        <w:spacing w:after="160" w:line="259" w:lineRule="auto"/>
        <w:rPr>
          <w:rFonts w:ascii="Calibri" w:eastAsia="Calibri" w:hAnsi="Calibri"/>
          <w:sz w:val="24"/>
          <w:szCs w:val="24"/>
        </w:rPr>
      </w:pPr>
    </w:p>
    <w:p w:rsidR="002D06E6" w:rsidRDefault="002D06E6" w:rsidP="0088207E">
      <w:pPr>
        <w:pStyle w:val="Heading1"/>
      </w:pPr>
      <w:bookmarkStart w:id="6" w:name="_Toc185589610"/>
      <w:r w:rsidRPr="002D06E6">
        <w:t>SUPPLY OF MME TO CPS</w:t>
      </w:r>
      <w:bookmarkEnd w:id="6"/>
    </w:p>
    <w:p w:rsidR="00214C63" w:rsidRPr="002D06E6" w:rsidRDefault="00214C63" w:rsidP="00214C63">
      <w:pPr>
        <w:pStyle w:val="ListParagraph"/>
        <w:overflowPunct w:val="0"/>
        <w:autoSpaceDE w:val="0"/>
        <w:autoSpaceDN w:val="0"/>
        <w:adjustRightInd w:val="0"/>
        <w:spacing w:before="120" w:after="120"/>
        <w:ind w:left="360"/>
        <w:jc w:val="both"/>
        <w:textAlignment w:val="baseline"/>
        <w:rPr>
          <w:rFonts w:asciiTheme="minorHAnsi" w:hAnsiTheme="minorHAnsi" w:cs="Tahoma"/>
          <w:b/>
        </w:rPr>
      </w:pPr>
    </w:p>
    <w:p w:rsidR="002D06E6" w:rsidRPr="002D06E6" w:rsidRDefault="002D06E6" w:rsidP="00214C63">
      <w:pPr>
        <w:pStyle w:val="ListParagraph"/>
        <w:numPr>
          <w:ilvl w:val="1"/>
          <w:numId w:val="16"/>
        </w:numPr>
        <w:spacing w:before="120"/>
        <w:ind w:left="788" w:hanging="431"/>
        <w:rPr>
          <w:rFonts w:ascii="Calibri" w:eastAsia="Calibri" w:hAnsi="Calibri"/>
        </w:rPr>
      </w:pPr>
      <w:r w:rsidRPr="002D06E6">
        <w:rPr>
          <w:rFonts w:ascii="Calibri" w:eastAsia="Calibri" w:hAnsi="Calibri"/>
        </w:rPr>
        <w:t>MME will only be supplied to CPS via DEMS where:</w:t>
      </w:r>
      <w:r w:rsidRPr="002D06E6">
        <w:rPr>
          <w:rFonts w:ascii="Calibri" w:eastAsia="Calibri" w:hAnsi="Calibri"/>
        </w:rPr>
        <w:br/>
      </w:r>
    </w:p>
    <w:p w:rsidR="002D06E6" w:rsidRPr="002D06E6" w:rsidRDefault="002D06E6" w:rsidP="00214C63">
      <w:pPr>
        <w:pStyle w:val="ListParagraph"/>
        <w:numPr>
          <w:ilvl w:val="2"/>
          <w:numId w:val="16"/>
        </w:numPr>
        <w:spacing w:before="120"/>
        <w:rPr>
          <w:rFonts w:ascii="Calibri" w:eastAsia="Calibri" w:hAnsi="Calibri"/>
        </w:rPr>
      </w:pPr>
      <w:r w:rsidRPr="002D06E6">
        <w:rPr>
          <w:rFonts w:ascii="Calibri" w:eastAsia="Calibri" w:hAnsi="Calibri"/>
        </w:rPr>
        <w:t>it is to form part of the prosecution case against an accused individual and is required as an exhibit in accordance with the Director’s Guidance on Charging; and</w:t>
      </w:r>
      <w:r w:rsidRPr="002D06E6">
        <w:rPr>
          <w:rFonts w:ascii="Calibri" w:eastAsia="Calibri" w:hAnsi="Calibri"/>
        </w:rPr>
        <w:br/>
      </w:r>
    </w:p>
    <w:p w:rsidR="002D06E6" w:rsidRPr="002D06E6" w:rsidRDefault="002D06E6" w:rsidP="00214C63">
      <w:pPr>
        <w:pStyle w:val="ListParagraph"/>
        <w:numPr>
          <w:ilvl w:val="2"/>
          <w:numId w:val="16"/>
        </w:numPr>
        <w:spacing w:before="120"/>
        <w:rPr>
          <w:rFonts w:ascii="Calibri" w:eastAsia="Calibri" w:hAnsi="Calibri"/>
        </w:rPr>
      </w:pPr>
      <w:r w:rsidRPr="002D06E6">
        <w:rPr>
          <w:rFonts w:ascii="Calibri" w:eastAsia="Calibri" w:hAnsi="Calibri"/>
        </w:rPr>
        <w:t xml:space="preserve">existing processes and guidance require the provision of the MME to the CPS in dealing with unused material in accordance with the responsibilities under common law and those contained in the Criminal Procedures and Investigations Act (CPIA) 1996; </w:t>
      </w:r>
      <w:r w:rsidRPr="002D06E6">
        <w:rPr>
          <w:rFonts w:ascii="Calibri" w:eastAsia="Calibri" w:hAnsi="Calibri"/>
        </w:rPr>
        <w:br/>
      </w:r>
    </w:p>
    <w:p w:rsidR="002D06E6" w:rsidRPr="002D06E6" w:rsidRDefault="002D06E6" w:rsidP="00700DD9">
      <w:pPr>
        <w:pStyle w:val="ListParagraph"/>
        <w:numPr>
          <w:ilvl w:val="2"/>
          <w:numId w:val="16"/>
        </w:numPr>
        <w:spacing w:before="120"/>
        <w:rPr>
          <w:rFonts w:ascii="Calibri" w:eastAsia="Calibri" w:hAnsi="Calibri"/>
        </w:rPr>
      </w:pPr>
      <w:r w:rsidRPr="002D06E6">
        <w:rPr>
          <w:rFonts w:ascii="Calibri" w:eastAsia="Calibri" w:hAnsi="Calibri"/>
        </w:rPr>
        <w:t>Some material in investigations is now classed as rebuttable presumption material, i.e. material that is presumed to meet the test for disclosure and thus always must be recorded, retained and provided where necessary. A list of this type of material is contained in Paragraph 87 of the AGG.</w:t>
      </w:r>
      <w:r w:rsidRPr="002D06E6">
        <w:rPr>
          <w:rFonts w:ascii="Calibri" w:eastAsia="Calibri" w:hAnsi="Calibri"/>
        </w:rPr>
        <w:br/>
      </w:r>
    </w:p>
    <w:p w:rsidR="002D06E6" w:rsidRPr="002D06E6" w:rsidRDefault="002D06E6" w:rsidP="00700DD9">
      <w:pPr>
        <w:pStyle w:val="ListParagraph"/>
        <w:numPr>
          <w:ilvl w:val="1"/>
          <w:numId w:val="16"/>
        </w:numPr>
        <w:spacing w:before="120"/>
        <w:ind w:left="788" w:hanging="431"/>
        <w:rPr>
          <w:rFonts w:ascii="Calibri" w:eastAsia="Calibri" w:hAnsi="Calibri"/>
        </w:rPr>
      </w:pPr>
      <w:r w:rsidRPr="002D06E6">
        <w:rPr>
          <w:rFonts w:ascii="Calibri" w:eastAsia="Calibri" w:hAnsi="Calibri"/>
        </w:rPr>
        <w:t>When requesting a pre-charge decision (“PCD”), the Police will ensure that the existence of any MME exhibits are clearly identified on the  MG3</w:t>
      </w:r>
      <w:r w:rsidRPr="00C92664">
        <w:rPr>
          <w:rFonts w:ascii="Calibri" w:eastAsia="Calibri" w:hAnsi="Calibri"/>
          <w:vertAlign w:val="superscript"/>
        </w:rPr>
        <w:footnoteReference w:id="2"/>
      </w:r>
      <w:r w:rsidRPr="00C92664">
        <w:rPr>
          <w:rFonts w:ascii="Calibri" w:eastAsia="Calibri" w:hAnsi="Calibri"/>
          <w:vertAlign w:val="superscript"/>
        </w:rPr>
        <w:t xml:space="preserve"> </w:t>
      </w:r>
      <w:r w:rsidRPr="002D06E6">
        <w:rPr>
          <w:rFonts w:ascii="Calibri" w:eastAsia="Calibri" w:hAnsi="Calibri"/>
        </w:rPr>
        <w:t xml:space="preserve"> or police pre-charge submission screens (One Way or Two Way interface (TWIF) message LM01/CM01 (Report to Crown Prosecutor for Charging Decision – Review instructions)); at post-charge initial file submission stage, its existence must be recorded on the MG5</w:t>
      </w:r>
      <w:r w:rsidR="001167E0">
        <w:t xml:space="preserve"> </w:t>
      </w:r>
      <w:r w:rsidRPr="002D06E6">
        <w:rPr>
          <w:rFonts w:ascii="Calibri" w:eastAsia="Calibri" w:hAnsi="Calibri"/>
        </w:rPr>
        <w:t>(Police Report Case Summary) document, in addition to whether or not it is considered to be relevant evidence.</w:t>
      </w:r>
    </w:p>
    <w:p w:rsidR="002D06E6" w:rsidRPr="002D06E6" w:rsidRDefault="002D06E6" w:rsidP="00700DD9">
      <w:pPr>
        <w:pStyle w:val="ListParagraph"/>
        <w:spacing w:before="120"/>
        <w:ind w:left="788"/>
        <w:rPr>
          <w:rFonts w:ascii="Calibri" w:eastAsia="Calibri" w:hAnsi="Calibri"/>
        </w:rPr>
      </w:pPr>
    </w:p>
    <w:p w:rsidR="002D06E6" w:rsidRPr="002D06E6" w:rsidRDefault="002D06E6" w:rsidP="00700DD9">
      <w:pPr>
        <w:pStyle w:val="ListParagraph"/>
        <w:numPr>
          <w:ilvl w:val="1"/>
          <w:numId w:val="16"/>
        </w:numPr>
        <w:spacing w:before="120"/>
        <w:ind w:left="788" w:hanging="431"/>
        <w:rPr>
          <w:rFonts w:ascii="Calibri" w:eastAsia="Calibri" w:hAnsi="Calibri"/>
        </w:rPr>
      </w:pPr>
      <w:r w:rsidRPr="002D06E6">
        <w:rPr>
          <w:rFonts w:ascii="Calibri" w:eastAsia="Calibri" w:hAnsi="Calibri"/>
        </w:rPr>
        <w:t>Any MME provided by the Relevant Police Force to the CPS via the DEMS must be checked prior to submission to the CPS to ensure it is in a playable and viewable format and complies with the National Naming Standards.</w:t>
      </w:r>
    </w:p>
    <w:p w:rsidR="002D06E6" w:rsidRPr="002D06E6" w:rsidRDefault="002D06E6" w:rsidP="002D06E6">
      <w:pPr>
        <w:spacing w:after="160" w:line="259" w:lineRule="auto"/>
        <w:rPr>
          <w:rFonts w:ascii="Calibri" w:eastAsia="Calibri" w:hAnsi="Calibri"/>
          <w:sz w:val="24"/>
          <w:szCs w:val="24"/>
        </w:rPr>
      </w:pPr>
    </w:p>
    <w:p w:rsidR="002D06E6" w:rsidRDefault="002D06E6" w:rsidP="0088207E">
      <w:pPr>
        <w:pStyle w:val="Heading1"/>
      </w:pPr>
      <w:bookmarkStart w:id="7" w:name="_Toc185589611"/>
      <w:r w:rsidRPr="002D06E6">
        <w:t>MME RELIED ON AS PROSECUTION EVIDENCE</w:t>
      </w:r>
      <w:bookmarkEnd w:id="7"/>
    </w:p>
    <w:p w:rsidR="00B17F8A" w:rsidRPr="002D06E6" w:rsidRDefault="00B17F8A" w:rsidP="00B17F8A">
      <w:pPr>
        <w:pStyle w:val="ListParagraph"/>
        <w:overflowPunct w:val="0"/>
        <w:autoSpaceDE w:val="0"/>
        <w:autoSpaceDN w:val="0"/>
        <w:adjustRightInd w:val="0"/>
        <w:spacing w:before="120" w:after="120"/>
        <w:ind w:left="360"/>
        <w:jc w:val="both"/>
        <w:textAlignment w:val="baseline"/>
        <w:rPr>
          <w:rFonts w:asciiTheme="minorHAnsi" w:hAnsiTheme="minorHAnsi" w:cs="Tahoma"/>
          <w:b/>
        </w:rPr>
      </w:pPr>
    </w:p>
    <w:p w:rsidR="002D06E6" w:rsidRPr="002D06E6" w:rsidRDefault="002D06E6" w:rsidP="00C45B50">
      <w:pPr>
        <w:pStyle w:val="ListParagraph"/>
        <w:numPr>
          <w:ilvl w:val="1"/>
          <w:numId w:val="16"/>
        </w:numPr>
        <w:spacing w:before="120"/>
        <w:ind w:left="788" w:hanging="431"/>
        <w:rPr>
          <w:rFonts w:ascii="Calibri" w:eastAsia="Calibri" w:hAnsi="Calibri"/>
        </w:rPr>
      </w:pPr>
      <w:r w:rsidRPr="002D06E6">
        <w:rPr>
          <w:rFonts w:ascii="Calibri" w:eastAsia="Calibri" w:hAnsi="Calibri"/>
        </w:rPr>
        <w:t xml:space="preserve">MME supplied to the CPS will be provided in a format enabling immediate access to the relevant part of the footage. A secure link with the correct access rights for all CJS parties, will be supplied to the CPS with the pre-charge submission and/or the initial digital case file. Evidential secure links to exhibits must be provided to the CPS on the </w:t>
      </w:r>
      <w:r w:rsidR="00A9516F">
        <w:rPr>
          <w:rFonts w:ascii="Calibri" w:eastAsia="Calibri" w:hAnsi="Calibri"/>
        </w:rPr>
        <w:t>MG0</w:t>
      </w:r>
      <w:r w:rsidRPr="002D06E6">
        <w:rPr>
          <w:rFonts w:ascii="Calibri" w:eastAsia="Calibri" w:hAnsi="Calibri"/>
        </w:rPr>
        <w:t xml:space="preserve"> or within an LM06 message.</w:t>
      </w:r>
      <w:r w:rsidRPr="002D06E6">
        <w:rPr>
          <w:rFonts w:ascii="Calibri" w:eastAsia="Calibri" w:hAnsi="Calibri"/>
        </w:rPr>
        <w:br/>
      </w:r>
    </w:p>
    <w:p w:rsidR="002D06E6" w:rsidRPr="002D06E6" w:rsidRDefault="002D06E6" w:rsidP="00C45B50">
      <w:pPr>
        <w:pStyle w:val="ListParagraph"/>
        <w:numPr>
          <w:ilvl w:val="1"/>
          <w:numId w:val="16"/>
        </w:numPr>
        <w:spacing w:before="120"/>
        <w:ind w:left="788" w:hanging="431"/>
        <w:rPr>
          <w:rFonts w:ascii="Calibri" w:eastAsia="Calibri" w:hAnsi="Calibri"/>
        </w:rPr>
      </w:pPr>
      <w:r w:rsidRPr="002D06E6">
        <w:rPr>
          <w:rFonts w:ascii="Calibri" w:eastAsia="Calibri" w:hAnsi="Calibri"/>
        </w:rPr>
        <w:t>All MME submissions from the Relevant Police Force must be completed digitally via the Police to CPS/DEMS interface.</w:t>
      </w:r>
      <w:r w:rsidRPr="002D06E6">
        <w:rPr>
          <w:rFonts w:ascii="Calibri" w:eastAsia="Calibri" w:hAnsi="Calibri"/>
        </w:rPr>
        <w:br/>
      </w:r>
    </w:p>
    <w:p w:rsidR="002D06E6" w:rsidRPr="002D06E6" w:rsidRDefault="002D06E6" w:rsidP="00C45B50">
      <w:pPr>
        <w:pStyle w:val="ListParagraph"/>
        <w:numPr>
          <w:ilvl w:val="1"/>
          <w:numId w:val="16"/>
        </w:numPr>
        <w:spacing w:before="120"/>
        <w:ind w:left="788" w:hanging="431"/>
        <w:rPr>
          <w:rFonts w:ascii="Calibri" w:eastAsia="Calibri" w:hAnsi="Calibri"/>
        </w:rPr>
      </w:pPr>
      <w:r w:rsidRPr="002D06E6">
        <w:rPr>
          <w:rFonts w:ascii="Calibri" w:eastAsia="Calibri" w:hAnsi="Calibri"/>
        </w:rPr>
        <w:t>The Officer must categorise each piece of relevant MME as ‘evidential’ in the DEMS system, to ensure that it is retained for longer than 30 days. To ensure the MME is accessible by all relevant parties, the Officer must ensure that each piece of MME provided is appropriate and capable of being shared with the CPS, HMCTS, and relevant defence counsel and/or external advocates. MME sharing across the CJS is the CPS’ responsibility in line with disclosure legislation and service responsibilities.</w:t>
      </w:r>
    </w:p>
    <w:p w:rsidR="002D06E6" w:rsidRPr="002D06E6" w:rsidRDefault="002D06E6" w:rsidP="00C45B50">
      <w:pPr>
        <w:pStyle w:val="ListParagraph"/>
        <w:spacing w:before="120"/>
        <w:ind w:left="788"/>
        <w:rPr>
          <w:rFonts w:ascii="Calibri" w:eastAsia="Calibri" w:hAnsi="Calibri"/>
        </w:rPr>
      </w:pPr>
    </w:p>
    <w:p w:rsidR="002D06E6" w:rsidRPr="002D06E6" w:rsidRDefault="002D06E6" w:rsidP="00C45B50">
      <w:pPr>
        <w:pStyle w:val="ListParagraph"/>
        <w:numPr>
          <w:ilvl w:val="1"/>
          <w:numId w:val="16"/>
        </w:numPr>
        <w:spacing w:before="120"/>
        <w:ind w:left="788" w:hanging="431"/>
        <w:rPr>
          <w:rFonts w:ascii="Calibri" w:eastAsia="Calibri" w:hAnsi="Calibri"/>
        </w:rPr>
      </w:pPr>
      <w:r w:rsidRPr="002D06E6">
        <w:rPr>
          <w:rFonts w:ascii="Calibri" w:eastAsia="Calibri" w:hAnsi="Calibri"/>
        </w:rPr>
        <w:t xml:space="preserve">Individual secure links will be provided by the Relevant Police Force to the CPS for each piece of MME on separate </w:t>
      </w:r>
      <w:r w:rsidR="00A9516F">
        <w:rPr>
          <w:rFonts w:ascii="Calibri" w:eastAsia="Calibri" w:hAnsi="Calibri"/>
        </w:rPr>
        <w:t>MG0</w:t>
      </w:r>
      <w:r w:rsidRPr="002D06E6">
        <w:rPr>
          <w:rFonts w:ascii="Calibri" w:eastAsia="Calibri" w:hAnsi="Calibri"/>
        </w:rPr>
        <w:t xml:space="preserve"> documents or LM06 messages.</w:t>
      </w:r>
    </w:p>
    <w:p w:rsidR="002D06E6" w:rsidRPr="002D06E6" w:rsidRDefault="002D06E6" w:rsidP="00C45B50">
      <w:pPr>
        <w:pStyle w:val="ListParagraph"/>
        <w:spacing w:before="120"/>
        <w:ind w:left="788"/>
        <w:rPr>
          <w:rFonts w:ascii="Calibri" w:eastAsia="Calibri" w:hAnsi="Calibri"/>
        </w:rPr>
      </w:pPr>
    </w:p>
    <w:p w:rsidR="002D06E6" w:rsidRDefault="002D06E6" w:rsidP="00C45B50">
      <w:pPr>
        <w:pStyle w:val="ListParagraph"/>
        <w:numPr>
          <w:ilvl w:val="1"/>
          <w:numId w:val="16"/>
        </w:numPr>
        <w:spacing w:before="120"/>
        <w:ind w:left="788" w:hanging="431"/>
        <w:rPr>
          <w:rFonts w:ascii="Calibri" w:eastAsia="Calibri" w:hAnsi="Calibri"/>
        </w:rPr>
      </w:pPr>
      <w:r w:rsidRPr="002D06E6">
        <w:rPr>
          <w:rFonts w:ascii="Calibri" w:eastAsia="Calibri" w:hAnsi="Calibri"/>
        </w:rPr>
        <w:t xml:space="preserve">The Relevant Police Force will only provide the CPS with relevant material. The material should be clipped to the evidential selection before it is sent to the CPS. Ordinarily, the clipped footage should be no longer than 10 minutes. However, if the Relevant Police Force considers there is justification for longer clipped footage, reasoning must be provided in the relevant section of the </w:t>
      </w:r>
      <w:r w:rsidR="00A9516F">
        <w:rPr>
          <w:rFonts w:ascii="Calibri" w:eastAsia="Calibri" w:hAnsi="Calibri"/>
        </w:rPr>
        <w:t>MG0</w:t>
      </w:r>
      <w:r w:rsidRPr="002D06E6">
        <w:rPr>
          <w:rFonts w:ascii="Calibri" w:eastAsia="Calibri" w:hAnsi="Calibri"/>
        </w:rPr>
        <w:t>.</w:t>
      </w:r>
      <w:r w:rsidRPr="00FE391C">
        <w:rPr>
          <w:rFonts w:ascii="Calibri" w:eastAsia="Calibri" w:hAnsi="Calibri"/>
          <w:vertAlign w:val="superscript"/>
        </w:rPr>
        <w:footnoteReference w:id="3"/>
      </w:r>
      <w:r w:rsidRPr="00FE391C">
        <w:rPr>
          <w:rFonts w:ascii="Calibri" w:eastAsia="Calibri" w:hAnsi="Calibri"/>
          <w:vertAlign w:val="superscript"/>
        </w:rPr>
        <w:t xml:space="preserve"> </w:t>
      </w:r>
    </w:p>
    <w:p w:rsidR="00793FBC" w:rsidRPr="00793FBC" w:rsidRDefault="00793FBC" w:rsidP="00793FBC">
      <w:pPr>
        <w:spacing w:before="120"/>
        <w:ind w:left="357"/>
        <w:rPr>
          <w:rFonts w:ascii="Calibri" w:eastAsia="Calibri" w:hAnsi="Calibri"/>
        </w:rPr>
      </w:pPr>
    </w:p>
    <w:p w:rsidR="002D06E6" w:rsidRPr="002D06E6" w:rsidRDefault="002D06E6" w:rsidP="00285BBB">
      <w:pPr>
        <w:pStyle w:val="ListParagraph"/>
        <w:numPr>
          <w:ilvl w:val="1"/>
          <w:numId w:val="16"/>
        </w:numPr>
        <w:spacing w:before="120"/>
        <w:ind w:left="788" w:hanging="431"/>
        <w:rPr>
          <w:rFonts w:ascii="Calibri" w:eastAsia="Calibri" w:hAnsi="Calibri"/>
        </w:rPr>
      </w:pPr>
      <w:r w:rsidRPr="002D06E6">
        <w:rPr>
          <w:rFonts w:ascii="Calibri" w:eastAsia="Calibri" w:hAnsi="Calibri"/>
        </w:rPr>
        <w:t>Media should be clipped and stitched together where there are multiple smaller selections of evidential material contained, within a larger selection of recorded footage arising from the same source and event.</w:t>
      </w:r>
    </w:p>
    <w:p w:rsidR="002D06E6" w:rsidRPr="002D06E6" w:rsidRDefault="002D06E6" w:rsidP="00285BBB">
      <w:pPr>
        <w:pStyle w:val="ListParagraph"/>
        <w:spacing w:before="120"/>
        <w:ind w:left="788"/>
        <w:rPr>
          <w:rFonts w:ascii="Calibri" w:eastAsia="Calibri" w:hAnsi="Calibri"/>
        </w:rPr>
      </w:pPr>
    </w:p>
    <w:p w:rsidR="002D06E6" w:rsidRPr="002D06E6" w:rsidRDefault="002D06E6" w:rsidP="00285BBB">
      <w:pPr>
        <w:pStyle w:val="ListParagraph"/>
        <w:numPr>
          <w:ilvl w:val="1"/>
          <w:numId w:val="16"/>
        </w:numPr>
        <w:spacing w:before="120"/>
        <w:ind w:left="788" w:hanging="431"/>
        <w:rPr>
          <w:rFonts w:ascii="Calibri" w:eastAsia="Calibri" w:hAnsi="Calibri"/>
        </w:rPr>
      </w:pPr>
      <w:r w:rsidRPr="002D06E6">
        <w:rPr>
          <w:rFonts w:ascii="Calibri" w:eastAsia="Calibri" w:hAnsi="Calibri"/>
        </w:rPr>
        <w:t>All MME should be redacted in line with the Joint National Redaction Principles. If the officer cannot clip or redact the MME for submission for a pre-charge decision, they must provide an MG11 describing the key points of the MME, as per Annex 7 of The Director’s Guidance on Charging- sixth edition (DG6) – Audio-visual evidence.</w:t>
      </w:r>
      <w:r w:rsidRPr="002D06E6">
        <w:rPr>
          <w:rFonts w:ascii="Calibri" w:eastAsia="Calibri" w:hAnsi="Calibri"/>
        </w:rPr>
        <w:br/>
      </w:r>
    </w:p>
    <w:p w:rsidR="002D06E6" w:rsidRPr="002D06E6" w:rsidRDefault="002D06E6" w:rsidP="00285BBB">
      <w:pPr>
        <w:pStyle w:val="ListParagraph"/>
        <w:numPr>
          <w:ilvl w:val="1"/>
          <w:numId w:val="16"/>
        </w:numPr>
        <w:spacing w:before="120"/>
        <w:ind w:left="788" w:hanging="431"/>
        <w:rPr>
          <w:rFonts w:ascii="Calibri" w:eastAsia="Calibri" w:hAnsi="Calibri"/>
        </w:rPr>
      </w:pPr>
      <w:r w:rsidRPr="002D06E6">
        <w:rPr>
          <w:rFonts w:ascii="Calibri" w:eastAsia="Calibri" w:hAnsi="Calibri"/>
        </w:rPr>
        <w:t>The secure link will be provided in accordance with the National File Standard requirements.</w:t>
      </w:r>
    </w:p>
    <w:p w:rsidR="002D06E6" w:rsidRPr="002D06E6" w:rsidRDefault="002D06E6" w:rsidP="002D06E6">
      <w:pPr>
        <w:spacing w:after="160" w:line="259" w:lineRule="auto"/>
        <w:rPr>
          <w:rFonts w:ascii="Calibri" w:eastAsia="Calibri" w:hAnsi="Calibri"/>
          <w:sz w:val="24"/>
          <w:szCs w:val="24"/>
        </w:rPr>
      </w:pPr>
    </w:p>
    <w:p w:rsidR="002D06E6" w:rsidRDefault="002D06E6" w:rsidP="0088207E">
      <w:pPr>
        <w:pStyle w:val="Heading1"/>
      </w:pPr>
      <w:bookmarkStart w:id="8" w:name="_Toc185589612"/>
      <w:r w:rsidRPr="002D06E6">
        <w:t>MME THAT IS UNUSED MATERIAL</w:t>
      </w:r>
      <w:bookmarkEnd w:id="8"/>
    </w:p>
    <w:p w:rsidR="00B17F8A" w:rsidRPr="002D06E6" w:rsidRDefault="00B17F8A" w:rsidP="00B17F8A">
      <w:pPr>
        <w:pStyle w:val="ListParagraph"/>
        <w:overflowPunct w:val="0"/>
        <w:autoSpaceDE w:val="0"/>
        <w:autoSpaceDN w:val="0"/>
        <w:adjustRightInd w:val="0"/>
        <w:spacing w:before="120" w:after="120"/>
        <w:ind w:left="360"/>
        <w:jc w:val="both"/>
        <w:textAlignment w:val="baseline"/>
        <w:rPr>
          <w:rFonts w:asciiTheme="minorHAnsi" w:hAnsiTheme="minorHAnsi" w:cs="Tahoma"/>
          <w:b/>
        </w:rPr>
      </w:pPr>
    </w:p>
    <w:p w:rsidR="002D06E6" w:rsidRPr="002D06E6" w:rsidRDefault="002D06E6" w:rsidP="00B17F8A">
      <w:pPr>
        <w:pStyle w:val="ListParagraph"/>
        <w:numPr>
          <w:ilvl w:val="1"/>
          <w:numId w:val="16"/>
        </w:numPr>
        <w:spacing w:before="120"/>
        <w:ind w:left="788" w:hanging="431"/>
        <w:rPr>
          <w:rFonts w:ascii="Calibri" w:eastAsia="Calibri" w:hAnsi="Calibri"/>
        </w:rPr>
      </w:pPr>
      <w:r w:rsidRPr="002D06E6">
        <w:rPr>
          <w:rFonts w:ascii="Calibri" w:eastAsia="Calibri" w:hAnsi="Calibri"/>
        </w:rPr>
        <w:t>Unused material is material that may be relevant to the investigation that has been retained, but does not form part of the case for the prosecution against the accused (“unused material”).</w:t>
      </w:r>
      <w:r w:rsidRPr="002D06E6">
        <w:rPr>
          <w:rFonts w:ascii="Calibri" w:eastAsia="Calibri" w:hAnsi="Calibri"/>
        </w:rPr>
        <w:br/>
      </w:r>
    </w:p>
    <w:p w:rsidR="002D06E6" w:rsidRPr="002D06E6" w:rsidRDefault="002D06E6" w:rsidP="00B17F8A">
      <w:pPr>
        <w:pStyle w:val="ListParagraph"/>
        <w:numPr>
          <w:ilvl w:val="1"/>
          <w:numId w:val="16"/>
        </w:numPr>
        <w:spacing w:before="120"/>
        <w:ind w:left="788" w:hanging="431"/>
        <w:rPr>
          <w:rFonts w:ascii="Calibri" w:eastAsia="Calibri" w:hAnsi="Calibri"/>
        </w:rPr>
      </w:pPr>
      <w:r w:rsidRPr="002D06E6">
        <w:rPr>
          <w:rFonts w:ascii="Calibri" w:eastAsia="Calibri" w:hAnsi="Calibri"/>
        </w:rPr>
        <w:t>Where MME is considered to contain sensitive material (as defined by the Disclosure Manual), it should be handled in accordance with the guidance in the Disclosure Manual. It should be listed and described on the MG6C</w:t>
      </w:r>
      <w:r w:rsidRPr="008625C2">
        <w:rPr>
          <w:rFonts w:ascii="Calibri" w:eastAsia="Calibri" w:hAnsi="Calibri"/>
          <w:vertAlign w:val="superscript"/>
        </w:rPr>
        <w:footnoteReference w:id="4"/>
      </w:r>
      <w:r w:rsidRPr="002D06E6">
        <w:rPr>
          <w:rFonts w:ascii="Calibri" w:eastAsia="Calibri" w:hAnsi="Calibri"/>
        </w:rPr>
        <w:t xml:space="preserve"> (Police Schedule of Non-Sensitive Unused material) or Streamlined Disclosure Certificate (SDC). The description must be sufficient to allow the prosecutor to make an informed decision on whether it could satisfy the disclosure test.</w:t>
      </w:r>
      <w:r w:rsidRPr="002D06E6">
        <w:rPr>
          <w:rFonts w:ascii="Calibri" w:eastAsia="Calibri" w:hAnsi="Calibri"/>
        </w:rPr>
        <w:br/>
      </w:r>
    </w:p>
    <w:p w:rsidR="002D06E6" w:rsidRPr="002D06E6" w:rsidRDefault="002D06E6" w:rsidP="00B17F8A">
      <w:pPr>
        <w:pStyle w:val="ListParagraph"/>
        <w:numPr>
          <w:ilvl w:val="1"/>
          <w:numId w:val="16"/>
        </w:numPr>
        <w:spacing w:before="120"/>
        <w:ind w:left="788" w:hanging="431"/>
        <w:rPr>
          <w:rFonts w:ascii="Calibri" w:eastAsia="Calibri" w:hAnsi="Calibri"/>
        </w:rPr>
      </w:pPr>
      <w:r w:rsidRPr="002D06E6">
        <w:rPr>
          <w:rFonts w:ascii="Calibri" w:eastAsia="Calibri" w:hAnsi="Calibri"/>
        </w:rPr>
        <w:t>Where MME is considered to contain sensitive material (as defined by the Disclosure Manual), it should be handled in accordance with the guidance in the Disclosure Manual. It should be listed and described on the MG6D</w:t>
      </w:r>
      <w:r w:rsidRPr="008625C2">
        <w:rPr>
          <w:rFonts w:ascii="Calibri" w:eastAsia="Calibri" w:hAnsi="Calibri"/>
          <w:vertAlign w:val="superscript"/>
        </w:rPr>
        <w:footnoteReference w:id="5"/>
      </w:r>
      <w:r w:rsidRPr="008625C2">
        <w:rPr>
          <w:rFonts w:ascii="Calibri" w:eastAsia="Calibri" w:hAnsi="Calibri"/>
          <w:vertAlign w:val="superscript"/>
        </w:rPr>
        <w:t xml:space="preserve"> </w:t>
      </w:r>
      <w:r w:rsidRPr="002D06E6">
        <w:rPr>
          <w:rFonts w:ascii="Calibri" w:eastAsia="Calibri" w:hAnsi="Calibri"/>
        </w:rPr>
        <w:t>schedule (Police Schedule of Sensitive Material).</w:t>
      </w:r>
    </w:p>
    <w:p w:rsidR="002D06E6" w:rsidRPr="002D06E6" w:rsidRDefault="002D06E6" w:rsidP="00B17F8A">
      <w:pPr>
        <w:pStyle w:val="ListParagraph"/>
        <w:spacing w:before="120"/>
        <w:ind w:left="788"/>
        <w:rPr>
          <w:rFonts w:ascii="Calibri" w:eastAsia="Calibri" w:hAnsi="Calibri"/>
        </w:rPr>
      </w:pPr>
    </w:p>
    <w:p w:rsidR="002D06E6" w:rsidRPr="002D06E6" w:rsidRDefault="002D06E6" w:rsidP="00B17F8A">
      <w:pPr>
        <w:pStyle w:val="ListParagraph"/>
        <w:numPr>
          <w:ilvl w:val="1"/>
          <w:numId w:val="16"/>
        </w:numPr>
        <w:spacing w:before="120"/>
        <w:ind w:left="788" w:hanging="431"/>
        <w:rPr>
          <w:rFonts w:ascii="Calibri" w:eastAsia="Calibri" w:hAnsi="Calibri"/>
        </w:rPr>
      </w:pPr>
      <w:r w:rsidRPr="002D06E6">
        <w:rPr>
          <w:rFonts w:ascii="Calibri" w:eastAsia="Calibri" w:hAnsi="Calibri"/>
        </w:rPr>
        <w:t xml:space="preserve">Where MME is considered to require disclosure because it may undermine the prosecution case or assist the defence, an operative secure link will be included with the item description on the Unused Material </w:t>
      </w:r>
      <w:r w:rsidR="00A9516F">
        <w:rPr>
          <w:rFonts w:ascii="Calibri" w:eastAsia="Calibri" w:hAnsi="Calibri"/>
        </w:rPr>
        <w:t>MG0</w:t>
      </w:r>
      <w:r w:rsidRPr="002D06E6">
        <w:rPr>
          <w:rFonts w:ascii="Calibri" w:eastAsia="Calibri" w:hAnsi="Calibri"/>
        </w:rPr>
        <w:t xml:space="preserve"> document and the relevant endorsement made on the MG6E.</w:t>
      </w:r>
      <w:r w:rsidRPr="00AF0D21">
        <w:rPr>
          <w:rFonts w:ascii="Calibri" w:eastAsia="Calibri" w:hAnsi="Calibri"/>
          <w:vertAlign w:val="superscript"/>
        </w:rPr>
        <w:footnoteReference w:id="6"/>
      </w:r>
      <w:r w:rsidRPr="00AF0D21">
        <w:rPr>
          <w:rFonts w:ascii="Calibri" w:eastAsia="Calibri" w:hAnsi="Calibri"/>
          <w:vertAlign w:val="superscript"/>
        </w:rPr>
        <w:t xml:space="preserve"> </w:t>
      </w:r>
      <w:r w:rsidRPr="002D06E6">
        <w:rPr>
          <w:rFonts w:ascii="Calibri" w:eastAsia="Calibri" w:hAnsi="Calibri"/>
        </w:rPr>
        <w:br/>
      </w:r>
    </w:p>
    <w:p w:rsidR="002D06E6" w:rsidRPr="002D06E6" w:rsidRDefault="002D06E6" w:rsidP="00B17F8A">
      <w:pPr>
        <w:pStyle w:val="ListParagraph"/>
        <w:numPr>
          <w:ilvl w:val="1"/>
          <w:numId w:val="16"/>
        </w:numPr>
        <w:spacing w:before="120"/>
        <w:ind w:left="788" w:hanging="431"/>
        <w:rPr>
          <w:rFonts w:ascii="Calibri" w:eastAsia="Calibri" w:hAnsi="Calibri"/>
        </w:rPr>
      </w:pPr>
      <w:r w:rsidRPr="002D06E6">
        <w:rPr>
          <w:rFonts w:ascii="Calibri" w:eastAsia="Calibri" w:hAnsi="Calibri"/>
        </w:rPr>
        <w:t xml:space="preserve">Where MME is considered to contain material that falls within the rebuttable presumption categories it should be shared with the CPS. A DEMS link will be included with the item description on the Unused Material </w:t>
      </w:r>
      <w:r w:rsidR="00A9516F">
        <w:rPr>
          <w:rFonts w:ascii="Calibri" w:eastAsia="Calibri" w:hAnsi="Calibri"/>
        </w:rPr>
        <w:t>MG0</w:t>
      </w:r>
      <w:r w:rsidRPr="002D06E6">
        <w:rPr>
          <w:rFonts w:ascii="Calibri" w:eastAsia="Calibri" w:hAnsi="Calibri"/>
        </w:rPr>
        <w:t xml:space="preserve"> document and the relevant endorsement made on the MG6E / SDC.</w:t>
      </w:r>
      <w:r w:rsidRPr="002D06E6">
        <w:rPr>
          <w:rFonts w:ascii="Calibri" w:eastAsia="Calibri" w:hAnsi="Calibri"/>
        </w:rPr>
        <w:br/>
      </w:r>
    </w:p>
    <w:p w:rsidR="002D06E6" w:rsidRPr="002D06E6" w:rsidRDefault="002D06E6" w:rsidP="00B17F8A">
      <w:pPr>
        <w:pStyle w:val="ListParagraph"/>
        <w:numPr>
          <w:ilvl w:val="1"/>
          <w:numId w:val="16"/>
        </w:numPr>
        <w:spacing w:before="120"/>
        <w:ind w:left="788" w:hanging="431"/>
        <w:rPr>
          <w:rFonts w:ascii="Calibri" w:eastAsia="Calibri" w:hAnsi="Calibri"/>
        </w:rPr>
      </w:pPr>
      <w:r w:rsidRPr="002D06E6">
        <w:rPr>
          <w:rFonts w:ascii="Calibri" w:eastAsia="Calibri" w:hAnsi="Calibri"/>
        </w:rPr>
        <w:t>Where Unused Material MME is requested by the CPS for review, the Relevant Police Force will submit the footage on the Unused Material MME document or within the LM07 message.</w:t>
      </w:r>
    </w:p>
    <w:p w:rsidR="002D06E6" w:rsidRPr="002D06E6" w:rsidRDefault="002D06E6" w:rsidP="002D06E6">
      <w:pPr>
        <w:spacing w:after="160" w:line="259" w:lineRule="auto"/>
        <w:rPr>
          <w:rFonts w:ascii="Calibri" w:eastAsia="Calibri" w:hAnsi="Calibri"/>
          <w:sz w:val="24"/>
          <w:szCs w:val="24"/>
        </w:rPr>
      </w:pPr>
    </w:p>
    <w:p w:rsidR="002D06E6" w:rsidRDefault="002D06E6" w:rsidP="0088207E">
      <w:pPr>
        <w:pStyle w:val="Heading1"/>
      </w:pPr>
      <w:bookmarkStart w:id="9" w:name="_Toc185589613"/>
      <w:r w:rsidRPr="002D06E6">
        <w:t>REVIEW OF MME BY CPS</w:t>
      </w:r>
      <w:bookmarkEnd w:id="9"/>
    </w:p>
    <w:p w:rsidR="00971CFA" w:rsidRPr="002D06E6" w:rsidRDefault="00971CFA" w:rsidP="00971CFA">
      <w:pPr>
        <w:pStyle w:val="ListParagraph"/>
        <w:overflowPunct w:val="0"/>
        <w:autoSpaceDE w:val="0"/>
        <w:autoSpaceDN w:val="0"/>
        <w:adjustRightInd w:val="0"/>
        <w:spacing w:before="120" w:after="120"/>
        <w:ind w:left="360"/>
        <w:jc w:val="both"/>
        <w:textAlignment w:val="baseline"/>
        <w:rPr>
          <w:rFonts w:asciiTheme="minorHAnsi" w:hAnsiTheme="minorHAnsi" w:cs="Tahoma"/>
          <w:b/>
        </w:rPr>
      </w:pPr>
    </w:p>
    <w:p w:rsidR="002D06E6" w:rsidRPr="002D06E6" w:rsidRDefault="002D06E6" w:rsidP="00971CFA">
      <w:pPr>
        <w:pStyle w:val="ListParagraph"/>
        <w:numPr>
          <w:ilvl w:val="1"/>
          <w:numId w:val="16"/>
        </w:numPr>
        <w:spacing w:before="120"/>
        <w:ind w:left="788" w:hanging="431"/>
        <w:rPr>
          <w:rFonts w:ascii="Calibri" w:eastAsia="Calibri" w:hAnsi="Calibri"/>
        </w:rPr>
      </w:pPr>
      <w:r w:rsidRPr="002D06E6">
        <w:rPr>
          <w:rFonts w:ascii="Calibri" w:eastAsia="Calibri" w:hAnsi="Calibri"/>
        </w:rPr>
        <w:t>The CPS will review all MME in accordance with the responsibilities detailed in the Code for Crown Prosecutors and the CPS Casework Quality Standards.</w:t>
      </w:r>
      <w:r w:rsidRPr="002D06E6">
        <w:rPr>
          <w:rFonts w:ascii="Calibri" w:eastAsia="Calibri" w:hAnsi="Calibri"/>
        </w:rPr>
        <w:br/>
      </w:r>
    </w:p>
    <w:p w:rsidR="002D06E6" w:rsidRPr="002D06E6" w:rsidRDefault="002D06E6" w:rsidP="00971CFA">
      <w:pPr>
        <w:pStyle w:val="ListParagraph"/>
        <w:numPr>
          <w:ilvl w:val="1"/>
          <w:numId w:val="16"/>
        </w:numPr>
        <w:spacing w:before="120"/>
        <w:ind w:left="788" w:hanging="431"/>
        <w:rPr>
          <w:rFonts w:ascii="Calibri" w:eastAsia="Calibri" w:hAnsi="Calibri"/>
        </w:rPr>
      </w:pPr>
      <w:r w:rsidRPr="002D06E6">
        <w:rPr>
          <w:rFonts w:ascii="Calibri" w:eastAsia="Calibri" w:hAnsi="Calibri"/>
        </w:rPr>
        <w:t xml:space="preserve">The CPS will ensure that all staff have access to approved DEMS. </w:t>
      </w:r>
    </w:p>
    <w:p w:rsidR="0088207E" w:rsidRDefault="0088207E">
      <w:pPr>
        <w:spacing w:after="200" w:line="276" w:lineRule="auto"/>
        <w:rPr>
          <w:rFonts w:ascii="Calibri" w:hAnsi="Calibri"/>
          <w:b/>
          <w:color w:val="361756"/>
          <w:sz w:val="28"/>
          <w:szCs w:val="26"/>
        </w:rPr>
      </w:pPr>
      <w:r>
        <w:rPr>
          <w:rFonts w:ascii="Calibri" w:hAnsi="Calibri"/>
          <w:b/>
          <w:color w:val="361756"/>
          <w:sz w:val="28"/>
          <w:szCs w:val="26"/>
        </w:rPr>
        <w:br w:type="page"/>
      </w:r>
    </w:p>
    <w:p w:rsidR="002D06E6" w:rsidRPr="0088207E" w:rsidRDefault="002D06E6" w:rsidP="0088207E">
      <w:pPr>
        <w:pStyle w:val="Heading1"/>
        <w:ind w:left="720"/>
      </w:pPr>
      <w:bookmarkStart w:id="10" w:name="_Toc185589614"/>
      <w:r w:rsidRPr="002D06E6">
        <w:t>SHARING THE MME WITH THE CJS</w:t>
      </w:r>
      <w:bookmarkEnd w:id="10"/>
    </w:p>
    <w:p w:rsidR="00971CFA" w:rsidRPr="002D06E6" w:rsidRDefault="00971CFA" w:rsidP="00971CFA">
      <w:pPr>
        <w:pStyle w:val="ListParagraph"/>
        <w:overflowPunct w:val="0"/>
        <w:autoSpaceDE w:val="0"/>
        <w:autoSpaceDN w:val="0"/>
        <w:adjustRightInd w:val="0"/>
        <w:spacing w:before="120" w:after="120"/>
        <w:ind w:left="360"/>
        <w:jc w:val="both"/>
        <w:textAlignment w:val="baseline"/>
        <w:rPr>
          <w:rFonts w:asciiTheme="minorHAnsi" w:hAnsiTheme="minorHAnsi" w:cs="Tahoma"/>
          <w:b/>
        </w:rPr>
      </w:pPr>
    </w:p>
    <w:p w:rsidR="002D06E6" w:rsidRPr="002D06E6" w:rsidRDefault="002D06E6" w:rsidP="00971CFA">
      <w:pPr>
        <w:pStyle w:val="ListParagraph"/>
        <w:numPr>
          <w:ilvl w:val="1"/>
          <w:numId w:val="16"/>
        </w:numPr>
        <w:spacing w:before="120"/>
        <w:ind w:left="788" w:hanging="431"/>
        <w:rPr>
          <w:rFonts w:ascii="Calibri" w:eastAsia="Calibri" w:hAnsi="Calibri"/>
        </w:rPr>
      </w:pPr>
      <w:r w:rsidRPr="002D06E6">
        <w:rPr>
          <w:rFonts w:ascii="Calibri" w:eastAsia="Calibri" w:hAnsi="Calibri"/>
        </w:rPr>
        <w:t>The Relevant Police Force will ensure that DEMS is effectively enabled to share relevant MME with the defence counsel and other third parties where appropriate.</w:t>
      </w:r>
      <w:r w:rsidRPr="002D06E6">
        <w:rPr>
          <w:rFonts w:ascii="Calibri" w:eastAsia="Calibri" w:hAnsi="Calibri"/>
        </w:rPr>
        <w:br/>
      </w:r>
    </w:p>
    <w:p w:rsidR="002D06E6" w:rsidRPr="002D06E6" w:rsidRDefault="002D06E6" w:rsidP="00971CFA">
      <w:pPr>
        <w:pStyle w:val="ListParagraph"/>
        <w:numPr>
          <w:ilvl w:val="1"/>
          <w:numId w:val="16"/>
        </w:numPr>
        <w:spacing w:before="120"/>
        <w:ind w:left="788" w:hanging="431"/>
        <w:rPr>
          <w:rFonts w:ascii="Calibri" w:eastAsia="Calibri" w:hAnsi="Calibri"/>
        </w:rPr>
      </w:pPr>
      <w:r w:rsidRPr="002D06E6">
        <w:rPr>
          <w:rFonts w:ascii="Calibri" w:eastAsia="Calibri" w:hAnsi="Calibri"/>
        </w:rPr>
        <w:t xml:space="preserve">Only users with secure email accounts such as cjsm.net and ejudiciary.net email domains, can register for the DEMS platforms. </w:t>
      </w:r>
    </w:p>
    <w:p w:rsidR="002D06E6" w:rsidRPr="002D06E6" w:rsidRDefault="002D06E6" w:rsidP="002D06E6">
      <w:pPr>
        <w:spacing w:after="160" w:line="259" w:lineRule="auto"/>
        <w:ind w:left="720"/>
        <w:contextualSpacing/>
        <w:rPr>
          <w:rFonts w:ascii="Calibri" w:eastAsia="Calibri" w:hAnsi="Calibri"/>
          <w:sz w:val="24"/>
          <w:szCs w:val="24"/>
        </w:rPr>
      </w:pPr>
    </w:p>
    <w:p w:rsidR="002D06E6" w:rsidRPr="002D06E6" w:rsidRDefault="002D06E6" w:rsidP="00891E90">
      <w:pPr>
        <w:pStyle w:val="ListParagraph"/>
        <w:numPr>
          <w:ilvl w:val="1"/>
          <w:numId w:val="16"/>
        </w:numPr>
        <w:spacing w:before="120"/>
        <w:ind w:left="788" w:hanging="431"/>
        <w:rPr>
          <w:rFonts w:ascii="Calibri" w:eastAsia="Calibri" w:hAnsi="Calibri"/>
        </w:rPr>
      </w:pPr>
      <w:r w:rsidRPr="002D06E6">
        <w:rPr>
          <w:rFonts w:ascii="Calibri" w:eastAsia="Calibri" w:hAnsi="Calibri"/>
        </w:rPr>
        <w:t>The Relevant Police Force will ensure that the MME supplied is appropriately clipped and redacted where necessary before it is made available to share, having regard to any relevant guidance.</w:t>
      </w:r>
      <w:r w:rsidRPr="002D06E6">
        <w:rPr>
          <w:rFonts w:ascii="Calibri" w:eastAsia="Calibri" w:hAnsi="Calibri"/>
        </w:rPr>
        <w:br/>
      </w:r>
    </w:p>
    <w:p w:rsidR="002D06E6" w:rsidRDefault="002D06E6" w:rsidP="00891E90">
      <w:pPr>
        <w:pStyle w:val="ListParagraph"/>
        <w:numPr>
          <w:ilvl w:val="1"/>
          <w:numId w:val="16"/>
        </w:numPr>
        <w:spacing w:before="120"/>
        <w:ind w:left="788" w:hanging="431"/>
        <w:rPr>
          <w:rFonts w:ascii="Calibri" w:eastAsia="Calibri" w:hAnsi="Calibri"/>
        </w:rPr>
      </w:pPr>
      <w:r w:rsidRPr="002D06E6">
        <w:rPr>
          <w:rFonts w:ascii="Calibri" w:eastAsia="Calibri" w:hAnsi="Calibri"/>
        </w:rPr>
        <w:t xml:space="preserve">The CPS will undertake to share MME with the relevant third parties (including defence counsel, external advocates, HMCTS and CPS prosecution agents) via the provision of a secure link where a secure email address is supplied or by uploading the </w:t>
      </w:r>
      <w:r w:rsidR="00A9516F">
        <w:rPr>
          <w:rFonts w:ascii="Calibri" w:eastAsia="Calibri" w:hAnsi="Calibri"/>
        </w:rPr>
        <w:t>MG0</w:t>
      </w:r>
      <w:r w:rsidRPr="002D06E6">
        <w:rPr>
          <w:rFonts w:ascii="Calibri" w:eastAsia="Calibri" w:hAnsi="Calibri"/>
        </w:rPr>
        <w:t xml:space="preserve"> to the Digital Case System (DCS) or Common Platform uplift (CDES).</w:t>
      </w:r>
    </w:p>
    <w:p w:rsidR="00891E90" w:rsidRDefault="00891E90" w:rsidP="00891E90">
      <w:pPr>
        <w:pStyle w:val="ListParagraph"/>
        <w:spacing w:before="120"/>
        <w:ind w:left="788"/>
        <w:rPr>
          <w:rFonts w:ascii="Calibri" w:eastAsia="Calibri" w:hAnsi="Calibri"/>
        </w:rPr>
      </w:pPr>
    </w:p>
    <w:p w:rsidR="00891E90" w:rsidRDefault="00891E90" w:rsidP="00891E90">
      <w:pPr>
        <w:pStyle w:val="ListParagraph"/>
        <w:spacing w:before="120"/>
        <w:ind w:left="788"/>
        <w:rPr>
          <w:rFonts w:ascii="Calibri" w:eastAsia="Calibri" w:hAnsi="Calibri"/>
        </w:rPr>
      </w:pPr>
    </w:p>
    <w:p w:rsidR="00CF4BFC" w:rsidRDefault="00CF4BFC">
      <w:pPr>
        <w:spacing w:after="200" w:line="276" w:lineRule="auto"/>
        <w:rPr>
          <w:rFonts w:ascii="Calibri" w:eastAsia="Calibri" w:hAnsi="Calibri"/>
        </w:rPr>
      </w:pPr>
    </w:p>
    <w:p w:rsidR="00587BE1" w:rsidRPr="00F3508D" w:rsidRDefault="00587BE1" w:rsidP="00F3508D">
      <w:pPr>
        <w:rPr>
          <w:rFonts w:asciiTheme="minorHAnsi" w:hAnsiTheme="minorHAnsi" w:cs="Tahoma"/>
          <w:b/>
          <w:color w:val="003C69"/>
          <w:sz w:val="52"/>
          <w:szCs w:val="52"/>
        </w:rPr>
      </w:pPr>
      <w:r w:rsidRPr="00F3508D">
        <w:rPr>
          <w:rFonts w:asciiTheme="minorHAnsi" w:hAnsiTheme="minorHAnsi" w:cs="Tahoma"/>
          <w:b/>
          <w:color w:val="003C69"/>
          <w:sz w:val="52"/>
          <w:szCs w:val="52"/>
        </w:rPr>
        <w:t xml:space="preserve">Signatories for both parties </w:t>
      </w:r>
    </w:p>
    <w:p w:rsidR="00587BE1" w:rsidRDefault="00587BE1" w:rsidP="002D06E6">
      <w:pPr>
        <w:spacing w:after="160" w:line="259" w:lineRule="auto"/>
        <w:rPr>
          <w:rFonts w:asciiTheme="minorHAnsi" w:eastAsia="Calibri" w:hAnsiTheme="minorHAnsi" w:cstheme="minorHAnsi"/>
          <w:b/>
          <w:bCs/>
          <w:sz w:val="28"/>
          <w:szCs w:val="28"/>
        </w:rPr>
      </w:pPr>
    </w:p>
    <w:p w:rsidR="002D06E6" w:rsidRPr="009B3E8A" w:rsidRDefault="0024499A" w:rsidP="002D06E6">
      <w:pPr>
        <w:spacing w:after="160" w:line="259" w:lineRule="auto"/>
        <w:rPr>
          <w:rFonts w:asciiTheme="minorHAnsi" w:eastAsia="Calibri" w:hAnsiTheme="minorHAnsi" w:cstheme="minorHAnsi"/>
          <w:b/>
          <w:bCs/>
        </w:rPr>
      </w:pPr>
      <w:r w:rsidRPr="009B3E8A">
        <w:rPr>
          <w:rFonts w:asciiTheme="minorHAnsi" w:eastAsia="Calibri" w:hAnsiTheme="minorHAnsi" w:cstheme="minorHAnsi"/>
          <w:b/>
          <w:bCs/>
        </w:rPr>
        <w:t>SIGNED BY AND APPROVED ON BEHALF OF THE NPCC LISTED IN ANNEX 4</w:t>
      </w:r>
    </w:p>
    <w:p w:rsidR="002D06E6" w:rsidRPr="009B3E8A" w:rsidRDefault="00A52711" w:rsidP="002D06E6">
      <w:pPr>
        <w:spacing w:after="160" w:line="259" w:lineRule="auto"/>
        <w:rPr>
          <w:rFonts w:asciiTheme="minorHAnsi" w:eastAsia="Calibri" w:hAnsiTheme="minorHAnsi" w:cstheme="minorHAnsi"/>
          <w:sz w:val="24"/>
          <w:szCs w:val="24"/>
        </w:rPr>
      </w:pPr>
      <w:r w:rsidRPr="009B3E8A">
        <w:rPr>
          <w:rFonts w:asciiTheme="minorHAnsi" w:eastAsia="Calibri" w:hAnsiTheme="minorHAnsi" w:cstheme="minorHAnsi"/>
          <w:sz w:val="24"/>
          <w:szCs w:val="24"/>
        </w:rPr>
        <w:t xml:space="preserve">Signature: </w:t>
      </w:r>
      <w:r w:rsidR="00224AC4" w:rsidRPr="009B3E8A">
        <w:t xml:space="preserve">ACC Jenny Gilmer </w:t>
      </w:r>
      <w:r w:rsidR="00594835" w:rsidRPr="009B3E8A">
        <w:t>(NPCC Courts Portfolio Lead</w:t>
      </w:r>
      <w:r w:rsidRPr="009B3E8A">
        <w:t>)</w:t>
      </w:r>
    </w:p>
    <w:p w:rsidR="002D06E6" w:rsidRPr="009B3E8A" w:rsidRDefault="002D06E6" w:rsidP="002D06E6">
      <w:pPr>
        <w:spacing w:after="160" w:line="259" w:lineRule="auto"/>
        <w:rPr>
          <w:rFonts w:asciiTheme="minorHAnsi" w:eastAsia="Calibri" w:hAnsiTheme="minorHAnsi" w:cstheme="minorHAnsi"/>
          <w:sz w:val="24"/>
          <w:szCs w:val="24"/>
        </w:rPr>
      </w:pPr>
    </w:p>
    <w:p w:rsidR="002D06E6" w:rsidRPr="009B3E8A" w:rsidRDefault="002D06E6" w:rsidP="002D06E6">
      <w:pPr>
        <w:spacing w:after="160" w:line="259" w:lineRule="auto"/>
        <w:rPr>
          <w:rFonts w:asciiTheme="minorHAnsi" w:eastAsia="Calibri" w:hAnsiTheme="minorHAnsi" w:cstheme="minorHAnsi"/>
          <w:sz w:val="24"/>
          <w:szCs w:val="24"/>
        </w:rPr>
      </w:pPr>
    </w:p>
    <w:p w:rsidR="002D06E6" w:rsidRPr="009B3E8A" w:rsidRDefault="0024499A" w:rsidP="002D06E6">
      <w:pPr>
        <w:spacing w:after="160" w:line="259" w:lineRule="auto"/>
        <w:rPr>
          <w:rFonts w:asciiTheme="minorHAnsi" w:eastAsia="Calibri" w:hAnsiTheme="minorHAnsi" w:cstheme="minorHAnsi"/>
          <w:b/>
          <w:bCs/>
        </w:rPr>
      </w:pPr>
      <w:r w:rsidRPr="009B3E8A">
        <w:rPr>
          <w:rFonts w:asciiTheme="minorHAnsi" w:eastAsia="Calibri" w:hAnsiTheme="minorHAnsi" w:cstheme="minorHAnsi"/>
          <w:b/>
          <w:bCs/>
        </w:rPr>
        <w:t>SIGNED BY AND APPROVED ON BEHALF OF THE CPS</w:t>
      </w:r>
    </w:p>
    <w:p w:rsidR="002D06E6" w:rsidRPr="009B3E8A" w:rsidRDefault="00C365B1" w:rsidP="002D06E6">
      <w:pPr>
        <w:spacing w:after="160" w:line="259" w:lineRule="auto"/>
        <w:rPr>
          <w:rFonts w:asciiTheme="minorHAnsi" w:eastAsia="Calibri" w:hAnsiTheme="minorHAnsi" w:cstheme="minorHAnsi"/>
          <w:sz w:val="24"/>
          <w:szCs w:val="24"/>
        </w:rPr>
      </w:pPr>
      <w:r w:rsidRPr="009B3E8A">
        <w:rPr>
          <w:rFonts w:asciiTheme="minorHAnsi" w:eastAsia="Calibri" w:hAnsiTheme="minorHAnsi" w:cstheme="minorHAnsi"/>
          <w:sz w:val="24"/>
          <w:szCs w:val="24"/>
        </w:rPr>
        <w:t xml:space="preserve">Signature: </w:t>
      </w:r>
      <w:r w:rsidR="00224AC4" w:rsidRPr="009B3E8A">
        <w:t>Matthew Cain (Head of Data Services</w:t>
      </w:r>
      <w:r w:rsidRPr="009B3E8A">
        <w:t>)</w:t>
      </w:r>
    </w:p>
    <w:p w:rsidR="00C365B1" w:rsidRPr="009B3E8A" w:rsidRDefault="00C365B1" w:rsidP="002D06E6">
      <w:pPr>
        <w:spacing w:after="160" w:line="259" w:lineRule="auto"/>
        <w:rPr>
          <w:rFonts w:asciiTheme="minorHAnsi" w:eastAsia="Calibri" w:hAnsiTheme="minorHAnsi" w:cstheme="minorHAnsi"/>
          <w:sz w:val="24"/>
          <w:szCs w:val="24"/>
        </w:rPr>
      </w:pPr>
    </w:p>
    <w:p w:rsidR="00537D3B" w:rsidRPr="009B3E8A" w:rsidRDefault="00537D3B" w:rsidP="002D06E6">
      <w:pPr>
        <w:spacing w:after="160" w:line="259" w:lineRule="auto"/>
        <w:rPr>
          <w:rFonts w:asciiTheme="minorHAnsi" w:eastAsia="Calibri" w:hAnsiTheme="minorHAnsi" w:cstheme="minorHAnsi"/>
          <w:sz w:val="24"/>
          <w:szCs w:val="24"/>
        </w:rPr>
      </w:pPr>
    </w:p>
    <w:p w:rsidR="00C365B1" w:rsidRPr="009B3E8A" w:rsidRDefault="00C365B1" w:rsidP="002D06E6">
      <w:pPr>
        <w:spacing w:after="160" w:line="259" w:lineRule="auto"/>
        <w:rPr>
          <w:rFonts w:asciiTheme="minorHAnsi" w:eastAsia="Calibri" w:hAnsiTheme="minorHAnsi" w:cstheme="minorHAnsi"/>
          <w:sz w:val="24"/>
          <w:szCs w:val="24"/>
        </w:rPr>
      </w:pPr>
      <w:r w:rsidRPr="009B3E8A">
        <w:rPr>
          <w:rFonts w:asciiTheme="minorHAnsi" w:eastAsia="Calibri" w:hAnsiTheme="minorHAnsi" w:cstheme="minorHAnsi"/>
          <w:b/>
          <w:sz w:val="24"/>
          <w:szCs w:val="24"/>
        </w:rPr>
        <w:t>Original date</w:t>
      </w:r>
      <w:r w:rsidR="00575C07" w:rsidRPr="009B3E8A">
        <w:rPr>
          <w:rFonts w:asciiTheme="minorHAnsi" w:eastAsia="Calibri" w:hAnsiTheme="minorHAnsi" w:cstheme="minorHAnsi"/>
          <w:sz w:val="24"/>
          <w:szCs w:val="24"/>
        </w:rPr>
        <w:t xml:space="preserve"> signed by both parties: </w:t>
      </w:r>
      <w:r w:rsidRPr="009B3E8A">
        <w:rPr>
          <w:rFonts w:asciiTheme="minorHAnsi" w:eastAsia="Calibri" w:hAnsiTheme="minorHAnsi" w:cstheme="minorHAnsi"/>
          <w:sz w:val="24"/>
          <w:szCs w:val="24"/>
        </w:rPr>
        <w:t>21/02/2024</w:t>
      </w:r>
    </w:p>
    <w:p w:rsidR="00C365B1" w:rsidRPr="009B3E8A" w:rsidRDefault="00C365B1" w:rsidP="002D06E6">
      <w:pPr>
        <w:spacing w:after="160" w:line="259" w:lineRule="auto"/>
        <w:rPr>
          <w:rFonts w:asciiTheme="minorHAnsi" w:eastAsia="Calibri" w:hAnsiTheme="minorHAnsi" w:cstheme="minorHAnsi"/>
          <w:sz w:val="24"/>
          <w:szCs w:val="24"/>
        </w:rPr>
      </w:pPr>
    </w:p>
    <w:p w:rsidR="00C365B1" w:rsidRPr="002D06E6" w:rsidRDefault="00537D3B" w:rsidP="002D06E6">
      <w:pPr>
        <w:spacing w:after="160" w:line="259" w:lineRule="auto"/>
        <w:rPr>
          <w:rFonts w:asciiTheme="minorHAnsi" w:eastAsia="Calibri" w:hAnsiTheme="minorHAnsi" w:cstheme="minorHAnsi"/>
          <w:sz w:val="24"/>
          <w:szCs w:val="24"/>
        </w:rPr>
        <w:sectPr w:rsidR="00C365B1" w:rsidRPr="002D06E6" w:rsidSect="00AE2511">
          <w:headerReference w:type="first" r:id="rId18"/>
          <w:pgSz w:w="11906" w:h="16838"/>
          <w:pgMar w:top="1843" w:right="851" w:bottom="1701" w:left="851" w:header="794" w:footer="227" w:gutter="0"/>
          <w:cols w:space="708"/>
          <w:titlePg/>
          <w:docGrid w:linePitch="360"/>
        </w:sectPr>
      </w:pPr>
      <w:r w:rsidRPr="009B3E8A">
        <w:rPr>
          <w:rFonts w:asciiTheme="minorHAnsi" w:eastAsia="Calibri" w:hAnsiTheme="minorHAnsi" w:cstheme="minorHAnsi"/>
          <w:b/>
          <w:sz w:val="24"/>
          <w:szCs w:val="24"/>
        </w:rPr>
        <w:t xml:space="preserve">Reviewed </w:t>
      </w:r>
      <w:r w:rsidR="00C365B1" w:rsidRPr="009B3E8A">
        <w:rPr>
          <w:rFonts w:asciiTheme="minorHAnsi" w:eastAsia="Calibri" w:hAnsiTheme="minorHAnsi" w:cstheme="minorHAnsi"/>
          <w:b/>
          <w:sz w:val="24"/>
          <w:szCs w:val="24"/>
        </w:rPr>
        <w:t>and approved</w:t>
      </w:r>
      <w:r w:rsidR="00C365B1" w:rsidRPr="009B3E8A">
        <w:rPr>
          <w:rFonts w:asciiTheme="minorHAnsi" w:eastAsia="Calibri" w:hAnsiTheme="minorHAnsi" w:cstheme="minorHAnsi"/>
          <w:sz w:val="24"/>
          <w:szCs w:val="24"/>
        </w:rPr>
        <w:t xml:space="preserve"> by</w:t>
      </w:r>
      <w:r w:rsidR="0032666D" w:rsidRPr="009B3E8A">
        <w:rPr>
          <w:rFonts w:asciiTheme="minorHAnsi" w:eastAsia="Calibri" w:hAnsiTheme="minorHAnsi" w:cstheme="minorHAnsi"/>
          <w:sz w:val="24"/>
          <w:szCs w:val="24"/>
        </w:rPr>
        <w:t xml:space="preserve"> the parties above on </w:t>
      </w:r>
      <w:r w:rsidR="00661AAC" w:rsidRPr="009B3E8A">
        <w:rPr>
          <w:rFonts w:asciiTheme="minorHAnsi" w:eastAsia="Calibri" w:hAnsiTheme="minorHAnsi" w:cstheme="minorHAnsi"/>
          <w:sz w:val="24"/>
          <w:szCs w:val="24"/>
        </w:rPr>
        <w:t>05/12/</w:t>
      </w:r>
      <w:r w:rsidR="0032666D" w:rsidRPr="009B3E8A">
        <w:rPr>
          <w:rFonts w:asciiTheme="minorHAnsi" w:eastAsia="Calibri" w:hAnsiTheme="minorHAnsi" w:cstheme="minorHAnsi"/>
          <w:sz w:val="24"/>
          <w:szCs w:val="24"/>
        </w:rPr>
        <w:t>2024</w:t>
      </w:r>
    </w:p>
    <w:p w:rsidR="002D06E6" w:rsidRPr="002D06E6" w:rsidRDefault="002D06E6" w:rsidP="008A429D">
      <w:pPr>
        <w:pStyle w:val="Heading1"/>
      </w:pPr>
      <w:bookmarkStart w:id="11" w:name="_Toc185589615"/>
      <w:bookmarkStart w:id="12" w:name="_Hlk122438409"/>
      <w:r w:rsidRPr="002D06E6">
        <w:t>Annex 1: Data Controller Responsibilities</w:t>
      </w:r>
      <w:bookmarkEnd w:id="11"/>
      <w:r w:rsidRPr="002D06E6">
        <w:t xml:space="preserve"> </w:t>
      </w:r>
    </w:p>
    <w:bookmarkEnd w:id="12"/>
    <w:p w:rsidR="002D06E6" w:rsidRPr="002D06E6" w:rsidRDefault="002D06E6" w:rsidP="002D06E6">
      <w:pPr>
        <w:spacing w:after="160" w:line="259" w:lineRule="auto"/>
        <w:rPr>
          <w:rFonts w:ascii="Calibri" w:eastAsia="Calibri" w:hAnsi="Calibri"/>
          <w:sz w:val="24"/>
          <w:szCs w:val="24"/>
        </w:rPr>
        <w:sectPr w:rsidR="002D06E6" w:rsidRPr="002D06E6" w:rsidSect="00CC096C">
          <w:pgSz w:w="11906" w:h="16838"/>
          <w:pgMar w:top="1636" w:right="680" w:bottom="2041" w:left="794" w:header="794" w:footer="227" w:gutter="0"/>
          <w:cols w:space="708"/>
          <w:titlePg/>
          <w:docGrid w:linePitch="360"/>
        </w:sectPr>
      </w:pPr>
      <w:r w:rsidRPr="002D06E6">
        <w:rPr>
          <w:rFonts w:ascii="Calibri" w:eastAsia="Calibri" w:hAnsi="Calibri"/>
          <w:noProof/>
          <w:sz w:val="24"/>
          <w:szCs w:val="24"/>
          <w:lang w:eastAsia="en-GB"/>
        </w:rPr>
        <w:drawing>
          <wp:inline distT="0" distB="0" distL="0" distR="0" wp14:anchorId="08BF3496" wp14:editId="2A510335">
            <wp:extent cx="6191250" cy="6184900"/>
            <wp:effectExtent l="0" t="0" r="0" b="6350"/>
            <wp:docPr id="36" name="Picture 3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10;&#10;Description automatically generated"/>
                    <pic:cNvPicPr/>
                  </pic:nvPicPr>
                  <pic:blipFill>
                    <a:blip r:embed="rId19"/>
                    <a:stretch>
                      <a:fillRect/>
                    </a:stretch>
                  </pic:blipFill>
                  <pic:spPr>
                    <a:xfrm>
                      <a:off x="0" y="0"/>
                      <a:ext cx="6191250" cy="6184900"/>
                    </a:xfrm>
                    <a:prstGeom prst="rect">
                      <a:avLst/>
                    </a:prstGeom>
                  </pic:spPr>
                </pic:pic>
              </a:graphicData>
            </a:graphic>
          </wp:inline>
        </w:drawing>
      </w:r>
      <w:r w:rsidRPr="002D06E6">
        <w:rPr>
          <w:rFonts w:ascii="Calibri" w:eastAsia="Calibri" w:hAnsi="Calibri"/>
          <w:sz w:val="24"/>
          <w:szCs w:val="24"/>
        </w:rPr>
        <w:t xml:space="preserve"> </w:t>
      </w:r>
    </w:p>
    <w:p w:rsidR="002D06E6" w:rsidRPr="002D06E6" w:rsidRDefault="002D06E6" w:rsidP="008A429D">
      <w:pPr>
        <w:pStyle w:val="Heading1"/>
      </w:pPr>
      <w:bookmarkStart w:id="13" w:name="_Toc185589616"/>
      <w:r w:rsidRPr="002D06E6">
        <w:t>Annex 2: MME Blueprint</w:t>
      </w:r>
      <w:bookmarkEnd w:id="13"/>
    </w:p>
    <w:p w:rsidR="002D06E6" w:rsidRPr="002D06E6" w:rsidRDefault="002D06E6" w:rsidP="002D06E6">
      <w:pPr>
        <w:spacing w:after="160" w:line="259" w:lineRule="auto"/>
        <w:rPr>
          <w:rFonts w:ascii="Calibri" w:eastAsia="Calibri" w:hAnsi="Calibri"/>
          <w:sz w:val="24"/>
          <w:szCs w:val="24"/>
        </w:rPr>
      </w:pPr>
      <w:r w:rsidRPr="002D06E6">
        <w:rPr>
          <w:rFonts w:ascii="Calibri" w:eastAsia="Calibri" w:hAnsi="Calibri"/>
          <w:b/>
          <w:noProof/>
          <w:color w:val="FFFFFF"/>
          <w:sz w:val="32"/>
          <w:szCs w:val="28"/>
          <w:lang w:eastAsia="en-GB"/>
        </w:rPr>
        <mc:AlternateContent>
          <mc:Choice Requires="wps">
            <w:drawing>
              <wp:anchor distT="0" distB="0" distL="114300" distR="114300" simplePos="0" relativeHeight="251661312" behindDoc="1" locked="0" layoutInCell="1" allowOverlap="1" wp14:anchorId="00F4E23F" wp14:editId="4D984422">
                <wp:simplePos x="0" y="0"/>
                <wp:positionH relativeFrom="page">
                  <wp:align>right</wp:align>
                </wp:positionH>
                <wp:positionV relativeFrom="paragraph">
                  <wp:posOffset>-6350</wp:posOffset>
                </wp:positionV>
                <wp:extent cx="7560310" cy="1473200"/>
                <wp:effectExtent l="0" t="0" r="2540" b="0"/>
                <wp:wrapNone/>
                <wp:docPr id="24" name="Freeform: 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473200"/>
                        </a:xfrm>
                        <a:custGeom>
                          <a:avLst/>
                          <a:gdLst>
                            <a:gd name="T0" fmla="*/ 0 w 11906"/>
                            <a:gd name="T1" fmla="*/ 3021 h 3021"/>
                            <a:gd name="T2" fmla="*/ 11906 w 11906"/>
                            <a:gd name="T3" fmla="*/ 3021 h 3021"/>
                            <a:gd name="T4" fmla="*/ 11906 w 11906"/>
                            <a:gd name="T5" fmla="*/ 0 h 3021"/>
                            <a:gd name="T6" fmla="*/ 0 w 11906"/>
                            <a:gd name="T7" fmla="*/ 0 h 3021"/>
                            <a:gd name="T8" fmla="*/ 0 w 11906"/>
                            <a:gd name="T9" fmla="*/ 3021 h 3021"/>
                          </a:gdLst>
                          <a:ahLst/>
                          <a:cxnLst>
                            <a:cxn ang="0">
                              <a:pos x="T0" y="T1"/>
                            </a:cxn>
                            <a:cxn ang="0">
                              <a:pos x="T2" y="T3"/>
                            </a:cxn>
                            <a:cxn ang="0">
                              <a:pos x="T4" y="T5"/>
                            </a:cxn>
                            <a:cxn ang="0">
                              <a:pos x="T6" y="T7"/>
                            </a:cxn>
                            <a:cxn ang="0">
                              <a:pos x="T8" y="T9"/>
                            </a:cxn>
                          </a:cxnLst>
                          <a:rect l="0" t="0" r="r" b="b"/>
                          <a:pathLst>
                            <a:path w="11906" h="3021">
                              <a:moveTo>
                                <a:pt x="0" y="3021"/>
                              </a:moveTo>
                              <a:lnTo>
                                <a:pt x="11906" y="3021"/>
                              </a:lnTo>
                              <a:lnTo>
                                <a:pt x="11906" y="0"/>
                              </a:lnTo>
                              <a:lnTo>
                                <a:pt x="0" y="0"/>
                              </a:lnTo>
                              <a:lnTo>
                                <a:pt x="0" y="3021"/>
                              </a:lnTo>
                            </a:path>
                          </a:pathLst>
                        </a:custGeom>
                        <a:solidFill>
                          <a:srgbClr val="005DAA"/>
                        </a:solidFill>
                        <a:ln>
                          <a:noFill/>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1103E7E" id="Freeform: Shape 24" o:spid="_x0000_s1026" style="position:absolute;margin-left:544.1pt;margin-top:-.5pt;width:595.3pt;height:116pt;z-index:-251655168;visibility:visible;mso-wrap-style:square;mso-height-percent:0;mso-wrap-distance-left:9pt;mso-wrap-distance-top:0;mso-wrap-distance-right:9pt;mso-wrap-distance-bottom:0;mso-position-horizontal:right;mso-position-horizontal-relative:page;mso-position-vertical:absolute;mso-position-vertical-relative:text;mso-height-percent:0;mso-height-relative:margin;v-text-anchor:top" coordsize="11906,3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" path="m,3021r11906,l11906,,,,,3021e" fillcolor="#005daa" stroked="f">
                <v:path arrowok="t" o:connecttype="custom" o:connectlocs="0,1473200;7560310,1473200;7560310,0;0,0;0,1473200" o:connectangles="0,0,0,0,0"/>
                <w10:wrap anchorx="page"/>
              </v:shape>
            </w:pict>
          </mc:Fallback>
        </mc:AlternateContent>
      </w:r>
      <w:r w:rsidRPr="002D06E6">
        <w:rPr>
          <w:rFonts w:ascii="Calibri" w:eastAsia="Calibri" w:hAnsi="Calibri"/>
          <w:noProof/>
          <w:sz w:val="24"/>
          <w:szCs w:val="24"/>
          <w:lang w:eastAsia="en-GB"/>
        </w:rPr>
        <mc:AlternateContent>
          <mc:Choice Requires="wps">
            <w:drawing>
              <wp:anchor distT="45720" distB="45720" distL="114300" distR="114300" simplePos="0" relativeHeight="251665408" behindDoc="0" locked="0" layoutInCell="1" allowOverlap="1" wp14:anchorId="657A9D80" wp14:editId="2BF911F1">
                <wp:simplePos x="0" y="0"/>
                <wp:positionH relativeFrom="column">
                  <wp:posOffset>1384084</wp:posOffset>
                </wp:positionH>
                <wp:positionV relativeFrom="paragraph">
                  <wp:posOffset>208113</wp:posOffset>
                </wp:positionV>
                <wp:extent cx="3795395" cy="1404620"/>
                <wp:effectExtent l="0" t="0" r="0" b="635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1404620"/>
                        </a:xfrm>
                        <a:prstGeom prst="rect">
                          <a:avLst/>
                        </a:prstGeom>
                        <a:noFill/>
                        <a:ln w="9525">
                          <a:noFill/>
                          <a:miter lim="800000"/>
                          <a:headEnd/>
                          <a:tailEnd/>
                        </a:ln>
                      </wps:spPr>
                      <wps:txbx>
                        <w:txbxContent>
                          <w:p w:rsidR="00A82EAC" w:rsidRPr="002D06E6" w:rsidRDefault="00A82EAC" w:rsidP="002D06E6">
                            <w:pPr>
                              <w:jc w:val="center"/>
                              <w:rPr>
                                <w:b/>
                                <w:color w:val="FFFFFF"/>
                                <w:sz w:val="32"/>
                                <w:szCs w:val="28"/>
                              </w:rPr>
                            </w:pPr>
                            <w:r w:rsidRPr="002D06E6">
                              <w:rPr>
                                <w:b/>
                                <w:color w:val="FFFFFF"/>
                                <w:sz w:val="36"/>
                                <w:szCs w:val="32"/>
                              </w:rPr>
                              <w:t>Multimedia Evidence Sharing</w:t>
                            </w:r>
                          </w:p>
                          <w:p w:rsidR="00A82EAC" w:rsidRDefault="00A82EAC" w:rsidP="002D06E6">
                            <w:pPr>
                              <w:jc w:val="center"/>
                            </w:pPr>
                            <w:r w:rsidRPr="002D06E6">
                              <w:rPr>
                                <w:b/>
                                <w:color w:val="FFFFFF"/>
                                <w:sz w:val="32"/>
                                <w:szCs w:val="28"/>
                              </w:rPr>
                              <w:t>Design and Development Blueprint</w:t>
                            </w:r>
                          </w:p>
                          <w:p w:rsidR="00A82EAC" w:rsidRDefault="00A82EAC" w:rsidP="002D06E6"/>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657A9D80" id="_x0000_t202" coordsize="21600,21600" o:spt="202" path="m,l,21600r21600,l21600,xe">
                <v:stroke joinstyle="miter"/>
                <v:path gradientshapeok="t" o:connecttype="rect"/>
              </v:shapetype>
              <v:shape id="Text Box 217" o:spid="_x0000_s1026" type="#_x0000_t202" style="position:absolute;margin-left:109pt;margin-top:16.4pt;width:298.85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" filled="f" stroked="f">
                <v:textbox style="mso-fit-shape-to-text:t">
                  <w:txbxContent>
                    <w:p w:rsidR="00A82EAC" w:rsidRPr="002D06E6" w:rsidRDefault="00A82EAC" w:rsidP="002D06E6">
                      <w:pPr>
                        <w:jc w:val="center"/>
                        <w:rPr>
                          <w:b/>
                          <w:color w:val="FFFFFF"/>
                          <w:sz w:val="32"/>
                          <w:szCs w:val="28"/>
                        </w:rPr>
                      </w:pPr>
                      <w:r w:rsidRPr="002D06E6">
                        <w:rPr>
                          <w:b/>
                          <w:color w:val="FFFFFF"/>
                          <w:sz w:val="36"/>
                          <w:szCs w:val="32"/>
                        </w:rPr>
                        <w:t>Multimedia Evidence Sharing</w:t>
                      </w:r>
                    </w:p>
                    <w:p w:rsidR="00A82EAC" w:rsidRDefault="00A82EAC" w:rsidP="002D06E6">
                      <w:pPr>
                        <w:jc w:val="center"/>
                      </w:pPr>
                      <w:r w:rsidRPr="002D06E6">
                        <w:rPr>
                          <w:b/>
                          <w:color w:val="FFFFFF"/>
                          <w:sz w:val="32"/>
                          <w:szCs w:val="28"/>
                        </w:rPr>
                        <w:t>Design and Development Blueprint</w:t>
                      </w:r>
                    </w:p>
                    <w:p w:rsidR="00A82EAC" w:rsidRDefault="00A82EAC" w:rsidP="002D06E6"/>
                  </w:txbxContent>
                </v:textbox>
                <w10:wrap type="square"/>
              </v:shape>
            </w:pict>
          </mc:Fallback>
        </mc:AlternateContent>
      </w:r>
      <w:r w:rsidRPr="002D06E6">
        <w:rPr>
          <w:rFonts w:ascii="Calibri" w:eastAsia="Calibri" w:hAnsi="Calibri"/>
          <w:noProof/>
          <w:sz w:val="24"/>
          <w:szCs w:val="24"/>
          <w:lang w:eastAsia="en-GB"/>
        </w:rPr>
        <w:drawing>
          <wp:anchor distT="0" distB="0" distL="114300" distR="114300" simplePos="0" relativeHeight="251664384" behindDoc="0" locked="0" layoutInCell="1" allowOverlap="1" wp14:anchorId="0D32073F" wp14:editId="534CB44F">
            <wp:simplePos x="0" y="0"/>
            <wp:positionH relativeFrom="column">
              <wp:posOffset>5507163</wp:posOffset>
            </wp:positionH>
            <wp:positionV relativeFrom="paragraph">
              <wp:posOffset>146050</wp:posOffset>
            </wp:positionV>
            <wp:extent cx="1019155" cy="1270635"/>
            <wp:effectExtent l="0" t="0" r="0" b="5715"/>
            <wp:wrapNone/>
            <wp:docPr id="38" name="Picture 38"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9155" cy="1270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6E6">
        <w:rPr>
          <w:rFonts w:ascii="Calibri" w:eastAsia="Calibri" w:hAnsi="Calibri"/>
          <w:b/>
          <w:noProof/>
          <w:color w:val="FFFFFF"/>
          <w:sz w:val="32"/>
          <w:szCs w:val="28"/>
          <w:lang w:eastAsia="en-GB"/>
        </w:rPr>
        <w:drawing>
          <wp:anchor distT="0" distB="0" distL="114300" distR="114300" simplePos="0" relativeHeight="251663360" behindDoc="0" locked="0" layoutInCell="1" allowOverlap="1" wp14:anchorId="40AE0BEC" wp14:editId="700C32AD">
            <wp:simplePos x="0" y="0"/>
            <wp:positionH relativeFrom="column">
              <wp:posOffset>42054</wp:posOffset>
            </wp:positionH>
            <wp:positionV relativeFrom="paragraph">
              <wp:posOffset>31750</wp:posOffset>
            </wp:positionV>
            <wp:extent cx="916940" cy="1175385"/>
            <wp:effectExtent l="0" t="0" r="0" b="5715"/>
            <wp:wrapNone/>
            <wp:docPr id="37" name="Picture 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logo&#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16940" cy="1175385"/>
                    </a:xfrm>
                    <a:prstGeom prst="rect">
                      <a:avLst/>
                    </a:prstGeom>
                  </pic:spPr>
                </pic:pic>
              </a:graphicData>
            </a:graphic>
            <wp14:sizeRelH relativeFrom="page">
              <wp14:pctWidth>0</wp14:pctWidth>
            </wp14:sizeRelH>
            <wp14:sizeRelV relativeFrom="page">
              <wp14:pctHeight>0</wp14:pctHeight>
            </wp14:sizeRelV>
          </wp:anchor>
        </w:drawing>
      </w:r>
    </w:p>
    <w:p w:rsidR="002D06E6" w:rsidRPr="002D06E6" w:rsidRDefault="002D06E6" w:rsidP="002D06E6">
      <w:pPr>
        <w:spacing w:after="160" w:line="259" w:lineRule="auto"/>
        <w:rPr>
          <w:rFonts w:ascii="Calibri" w:eastAsia="Calibri" w:hAnsi="Calibri"/>
          <w:sz w:val="24"/>
          <w:szCs w:val="24"/>
        </w:rPr>
      </w:pPr>
    </w:p>
    <w:p w:rsidR="002D06E6" w:rsidRPr="002D06E6" w:rsidRDefault="002D06E6" w:rsidP="002D06E6">
      <w:pPr>
        <w:spacing w:after="160" w:line="259" w:lineRule="auto"/>
        <w:rPr>
          <w:rFonts w:ascii="Calibri" w:eastAsia="Calibri" w:hAnsi="Calibri"/>
          <w:sz w:val="24"/>
          <w:szCs w:val="24"/>
        </w:rPr>
      </w:pPr>
    </w:p>
    <w:p w:rsidR="002D06E6" w:rsidRPr="002D06E6" w:rsidRDefault="002D06E6" w:rsidP="002D06E6">
      <w:pPr>
        <w:spacing w:after="160" w:line="259" w:lineRule="auto"/>
        <w:rPr>
          <w:rFonts w:ascii="Calibri" w:eastAsia="Calibri" w:hAnsi="Calibri"/>
          <w:sz w:val="24"/>
          <w:szCs w:val="24"/>
        </w:rPr>
      </w:pPr>
    </w:p>
    <w:p w:rsidR="002D06E6" w:rsidRPr="002D06E6" w:rsidRDefault="002D06E6" w:rsidP="002D06E6">
      <w:pPr>
        <w:spacing w:after="160" w:line="259" w:lineRule="auto"/>
        <w:rPr>
          <w:rFonts w:ascii="Calibri" w:eastAsia="Calibri" w:hAnsi="Calibri"/>
          <w:sz w:val="24"/>
          <w:szCs w:val="24"/>
        </w:rPr>
      </w:pPr>
      <w:r w:rsidRPr="002D06E6">
        <w:rPr>
          <w:rFonts w:ascii="Calibri" w:eastAsia="Calibri" w:hAnsi="Calibri"/>
          <w:b/>
          <w:bCs/>
          <w:noProof/>
          <w:sz w:val="24"/>
          <w:szCs w:val="24"/>
          <w:lang w:eastAsia="en-GB"/>
        </w:rPr>
        <w:drawing>
          <wp:anchor distT="0" distB="0" distL="114300" distR="114300" simplePos="0" relativeHeight="251662336" behindDoc="0" locked="0" layoutInCell="1" allowOverlap="1" wp14:anchorId="1F00FDCD" wp14:editId="3D496410">
            <wp:simplePos x="0" y="0"/>
            <wp:positionH relativeFrom="column">
              <wp:posOffset>-3031</wp:posOffset>
            </wp:positionH>
            <wp:positionV relativeFrom="paragraph">
              <wp:posOffset>33020</wp:posOffset>
            </wp:positionV>
            <wp:extent cx="1032492" cy="201880"/>
            <wp:effectExtent l="0" t="0" r="0" b="825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s banner.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32492" cy="201880"/>
                    </a:xfrm>
                    <a:prstGeom prst="rect">
                      <a:avLst/>
                    </a:prstGeom>
                  </pic:spPr>
                </pic:pic>
              </a:graphicData>
            </a:graphic>
            <wp14:sizeRelH relativeFrom="page">
              <wp14:pctWidth>0</wp14:pctWidth>
            </wp14:sizeRelH>
            <wp14:sizeRelV relativeFrom="page">
              <wp14:pctHeight>0</wp14:pctHeight>
            </wp14:sizeRelV>
          </wp:anchor>
        </w:drawing>
      </w:r>
    </w:p>
    <w:p w:rsidR="002D06E6" w:rsidRPr="002D06E6" w:rsidRDefault="002D06E6" w:rsidP="002D06E6">
      <w:pPr>
        <w:spacing w:after="160" w:line="259" w:lineRule="auto"/>
        <w:rPr>
          <w:rFonts w:ascii="Calibri" w:eastAsia="Calibri" w:hAnsi="Calibri"/>
          <w:sz w:val="24"/>
          <w:szCs w:val="24"/>
        </w:rPr>
      </w:pPr>
    </w:p>
    <w:p w:rsidR="002D06E6" w:rsidRPr="002D06E6" w:rsidRDefault="002D06E6" w:rsidP="002D06E6">
      <w:pPr>
        <w:widowControl w:val="0"/>
        <w:autoSpaceDE w:val="0"/>
        <w:autoSpaceDN w:val="0"/>
        <w:rPr>
          <w:rFonts w:eastAsia="Arial" w:cs="Arial"/>
          <w:b/>
          <w:bCs/>
          <w:color w:val="0070C0"/>
          <w:sz w:val="32"/>
          <w:szCs w:val="32"/>
          <w:lang w:eastAsia="hi-IN" w:bidi="hi-IN"/>
        </w:rPr>
      </w:pPr>
      <w:r w:rsidRPr="002D06E6">
        <w:rPr>
          <w:rFonts w:eastAsia="Arial" w:cs="Arial"/>
          <w:b/>
          <w:bCs/>
          <w:color w:val="0070C0"/>
          <w:sz w:val="32"/>
          <w:szCs w:val="32"/>
          <w:lang w:eastAsia="hi-IN" w:bidi="hi-IN"/>
        </w:rPr>
        <w:t>Design Principles</w:t>
      </w:r>
    </w:p>
    <w:p w:rsidR="002D06E6" w:rsidRPr="002D06E6" w:rsidRDefault="002D06E6" w:rsidP="002D06E6">
      <w:pPr>
        <w:widowControl w:val="0"/>
        <w:autoSpaceDE w:val="0"/>
        <w:autoSpaceDN w:val="0"/>
        <w:rPr>
          <w:rFonts w:eastAsia="Arial" w:cs="Arial"/>
          <w:b/>
          <w:bCs/>
          <w:color w:val="0070C0"/>
          <w:sz w:val="32"/>
          <w:szCs w:val="32"/>
          <w:lang w:eastAsia="hi-IN" w:bidi="hi-IN"/>
        </w:rPr>
      </w:pPr>
    </w:p>
    <w:p w:rsidR="002D06E6" w:rsidRPr="002D06E6" w:rsidRDefault="002D06E6" w:rsidP="002D06E6">
      <w:pPr>
        <w:widowControl w:val="0"/>
        <w:autoSpaceDE w:val="0"/>
        <w:autoSpaceDN w:val="0"/>
        <w:rPr>
          <w:rFonts w:eastAsia="Arial" w:cs="Arial"/>
          <w:lang w:eastAsia="en-GB" w:bidi="en-GB"/>
        </w:rPr>
      </w:pPr>
      <w:r w:rsidRPr="002D06E6">
        <w:rPr>
          <w:rFonts w:eastAsia="Arial" w:cs="Arial"/>
          <w:lang w:eastAsia="en-GB" w:bidi="en-GB"/>
        </w:rPr>
        <w:t>The design and development of systems for sharing multimedia evidence (MME) must be based on the following design principles:</w:t>
      </w:r>
      <w:r w:rsidRPr="002D06E6">
        <w:rPr>
          <w:rFonts w:eastAsia="Arial" w:cs="Arial"/>
          <w:lang w:eastAsia="en-GB" w:bidi="en-GB"/>
        </w:rPr>
        <w:br/>
      </w:r>
    </w:p>
    <w:p w:rsidR="002D06E6" w:rsidRPr="002D06E6" w:rsidRDefault="002D06E6" w:rsidP="002D06E6">
      <w:pPr>
        <w:widowControl w:val="0"/>
        <w:numPr>
          <w:ilvl w:val="0"/>
          <w:numId w:val="11"/>
        </w:numPr>
        <w:autoSpaceDE w:val="0"/>
        <w:autoSpaceDN w:val="0"/>
        <w:spacing w:after="120" w:line="259" w:lineRule="auto"/>
        <w:jc w:val="both"/>
        <w:rPr>
          <w:rFonts w:eastAsia="Arial" w:cs="Arial"/>
          <w:lang w:eastAsia="hi-IN" w:bidi="hi-IN"/>
        </w:rPr>
      </w:pPr>
      <w:r w:rsidRPr="002D06E6">
        <w:rPr>
          <w:rFonts w:eastAsia="Arial" w:cs="Arial"/>
          <w:lang w:eastAsia="hi-IN" w:bidi="hi-IN"/>
        </w:rPr>
        <w:t>Digital MME must be capable of being shared with the CPS and directly onward shared with CJS partners following review, i.e. the judiciary, defence and external advocates.</w:t>
      </w:r>
    </w:p>
    <w:p w:rsidR="002D06E6" w:rsidRPr="002D06E6" w:rsidRDefault="002D06E6" w:rsidP="002D06E6">
      <w:pPr>
        <w:widowControl w:val="0"/>
        <w:numPr>
          <w:ilvl w:val="0"/>
          <w:numId w:val="11"/>
        </w:numPr>
        <w:autoSpaceDE w:val="0"/>
        <w:autoSpaceDN w:val="0"/>
        <w:spacing w:after="120" w:line="259" w:lineRule="auto"/>
        <w:jc w:val="both"/>
        <w:rPr>
          <w:rFonts w:eastAsia="Arial" w:cs="Arial"/>
          <w:lang w:eastAsia="hi-IN" w:bidi="hi-IN"/>
        </w:rPr>
      </w:pPr>
      <w:r w:rsidRPr="002D06E6">
        <w:rPr>
          <w:rFonts w:eastAsia="Arial" w:cs="Arial"/>
          <w:lang w:eastAsia="hi-IN" w:bidi="hi-IN"/>
        </w:rPr>
        <w:t>Access to the system must be via secure and authenticated means for all users.</w:t>
      </w:r>
    </w:p>
    <w:p w:rsidR="002D06E6" w:rsidRPr="002D06E6" w:rsidRDefault="002D06E6" w:rsidP="002D06E6">
      <w:pPr>
        <w:widowControl w:val="0"/>
        <w:numPr>
          <w:ilvl w:val="0"/>
          <w:numId w:val="11"/>
        </w:numPr>
        <w:autoSpaceDE w:val="0"/>
        <w:autoSpaceDN w:val="0"/>
        <w:spacing w:after="120" w:line="259" w:lineRule="auto"/>
        <w:jc w:val="both"/>
        <w:rPr>
          <w:rFonts w:eastAsia="Arial" w:cs="Arial"/>
          <w:lang w:eastAsia="hi-IN" w:bidi="hi-IN"/>
        </w:rPr>
      </w:pPr>
      <w:r w:rsidRPr="002D06E6">
        <w:rPr>
          <w:rFonts w:eastAsia="Arial" w:cs="Arial"/>
          <w:lang w:eastAsia="hi-IN" w:bidi="hi-IN"/>
        </w:rPr>
        <w:t>Relevant metadata must be displayed on the MME within the system.</w:t>
      </w:r>
    </w:p>
    <w:p w:rsidR="002D06E6" w:rsidRPr="002D06E6" w:rsidRDefault="002D06E6" w:rsidP="002D06E6">
      <w:pPr>
        <w:widowControl w:val="0"/>
        <w:numPr>
          <w:ilvl w:val="0"/>
          <w:numId w:val="11"/>
        </w:numPr>
        <w:autoSpaceDE w:val="0"/>
        <w:autoSpaceDN w:val="0"/>
        <w:spacing w:after="120" w:line="259" w:lineRule="auto"/>
        <w:jc w:val="both"/>
        <w:rPr>
          <w:rFonts w:eastAsia="Arial" w:cs="Arial"/>
          <w:lang w:eastAsia="hi-IN" w:bidi="hi-IN"/>
        </w:rPr>
      </w:pPr>
      <w:r w:rsidRPr="002D06E6">
        <w:rPr>
          <w:rFonts w:eastAsia="Arial" w:cs="Arial"/>
          <w:lang w:eastAsia="hi-IN" w:bidi="hi-IN"/>
        </w:rPr>
        <w:t>MME must be capable of being both streamed and downloaded.</w:t>
      </w:r>
    </w:p>
    <w:p w:rsidR="002D06E6" w:rsidRPr="002D06E6" w:rsidRDefault="002D06E6" w:rsidP="002D06E6">
      <w:pPr>
        <w:widowControl w:val="0"/>
        <w:numPr>
          <w:ilvl w:val="0"/>
          <w:numId w:val="11"/>
        </w:numPr>
        <w:autoSpaceDE w:val="0"/>
        <w:autoSpaceDN w:val="0"/>
        <w:spacing w:after="120" w:line="259" w:lineRule="auto"/>
        <w:jc w:val="both"/>
        <w:rPr>
          <w:rFonts w:eastAsia="Arial" w:cs="Arial"/>
          <w:lang w:eastAsia="hi-IN" w:bidi="hi-IN"/>
        </w:rPr>
      </w:pPr>
      <w:r w:rsidRPr="002D06E6">
        <w:rPr>
          <w:rFonts w:eastAsia="Arial" w:cs="Arial"/>
          <w:lang w:eastAsia="hi-IN" w:bidi="hi-IN"/>
        </w:rPr>
        <w:t>CPS is responsible for disclosure and service of MME across the CJS</w:t>
      </w:r>
    </w:p>
    <w:p w:rsidR="002D06E6" w:rsidRPr="002D06E6" w:rsidRDefault="002D06E6" w:rsidP="002D06E6">
      <w:pPr>
        <w:widowControl w:val="0"/>
        <w:numPr>
          <w:ilvl w:val="0"/>
          <w:numId w:val="11"/>
        </w:numPr>
        <w:autoSpaceDE w:val="0"/>
        <w:autoSpaceDN w:val="0"/>
        <w:spacing w:after="120" w:line="259" w:lineRule="auto"/>
        <w:jc w:val="both"/>
        <w:rPr>
          <w:rFonts w:eastAsia="Arial" w:cs="Arial"/>
          <w:lang w:eastAsia="hi-IN" w:bidi="hi-IN"/>
        </w:rPr>
      </w:pPr>
      <w:r w:rsidRPr="002D06E6">
        <w:rPr>
          <w:rFonts w:eastAsia="Arial" w:cs="Arial"/>
          <w:lang w:eastAsia="hi-IN" w:bidi="hi-IN"/>
        </w:rPr>
        <w:t>Digital Media must be available at every stage of the judicial process.</w:t>
      </w:r>
    </w:p>
    <w:p w:rsidR="002D06E6" w:rsidRPr="002D06E6" w:rsidRDefault="002D06E6" w:rsidP="002D06E6">
      <w:pPr>
        <w:widowControl w:val="0"/>
        <w:numPr>
          <w:ilvl w:val="0"/>
          <w:numId w:val="11"/>
        </w:numPr>
        <w:autoSpaceDE w:val="0"/>
        <w:autoSpaceDN w:val="0"/>
        <w:spacing w:after="120" w:line="259" w:lineRule="auto"/>
        <w:jc w:val="both"/>
        <w:rPr>
          <w:rFonts w:eastAsia="Arial" w:cs="Arial"/>
          <w:lang w:eastAsia="hi-IN" w:bidi="hi-IN"/>
        </w:rPr>
      </w:pPr>
      <w:r w:rsidRPr="002D06E6">
        <w:rPr>
          <w:rFonts w:eastAsia="Arial" w:cs="Arial"/>
          <w:lang w:eastAsia="hi-IN" w:bidi="hi-IN"/>
        </w:rPr>
        <w:t>When guaranteed access is required (such as when presenting in a court room) a copy of the MME will be downloaded.</w:t>
      </w:r>
    </w:p>
    <w:p w:rsidR="002D06E6" w:rsidRPr="002D06E6" w:rsidRDefault="002D06E6" w:rsidP="002D06E6">
      <w:pPr>
        <w:widowControl w:val="0"/>
        <w:autoSpaceDE w:val="0"/>
        <w:autoSpaceDN w:val="0"/>
        <w:rPr>
          <w:rFonts w:eastAsia="Arial" w:cs="Arial"/>
          <w:lang w:eastAsia="hi-IN" w:bidi="hi-IN"/>
        </w:rPr>
      </w:pPr>
    </w:p>
    <w:p w:rsidR="002D06E6" w:rsidRPr="002D06E6" w:rsidRDefault="002D06E6" w:rsidP="002D06E6">
      <w:pPr>
        <w:widowControl w:val="0"/>
        <w:autoSpaceDE w:val="0"/>
        <w:autoSpaceDN w:val="0"/>
        <w:rPr>
          <w:rFonts w:eastAsia="Arial" w:cs="Arial"/>
          <w:b/>
          <w:bCs/>
          <w:color w:val="0070C0"/>
          <w:sz w:val="32"/>
          <w:szCs w:val="32"/>
          <w:lang w:eastAsia="hi-IN" w:bidi="hi-IN"/>
        </w:rPr>
      </w:pPr>
      <w:r w:rsidRPr="002D06E6">
        <w:rPr>
          <w:rFonts w:eastAsia="Arial" w:cs="Arial"/>
          <w:b/>
          <w:bCs/>
          <w:color w:val="0070C0"/>
          <w:sz w:val="32"/>
          <w:szCs w:val="32"/>
          <w:lang w:eastAsia="hi-IN" w:bidi="hi-IN"/>
        </w:rPr>
        <w:t>Digital MME must be sharable with CJS partners</w:t>
      </w:r>
    </w:p>
    <w:p w:rsidR="002D06E6" w:rsidRPr="002D06E6" w:rsidRDefault="002D06E6" w:rsidP="002D06E6">
      <w:pPr>
        <w:widowControl w:val="0"/>
        <w:autoSpaceDE w:val="0"/>
        <w:autoSpaceDN w:val="0"/>
        <w:rPr>
          <w:rFonts w:eastAsia="Arial" w:cs="Arial"/>
          <w:b/>
          <w:bCs/>
          <w:color w:val="0070C0"/>
          <w:sz w:val="32"/>
          <w:szCs w:val="32"/>
          <w:lang w:eastAsia="hi-IN" w:bidi="hi-IN"/>
        </w:rPr>
      </w:pPr>
    </w:p>
    <w:p w:rsidR="002D06E6" w:rsidRPr="002D06E6" w:rsidRDefault="002D06E6" w:rsidP="002D06E6">
      <w:pPr>
        <w:widowControl w:val="0"/>
        <w:numPr>
          <w:ilvl w:val="0"/>
          <w:numId w:val="9"/>
        </w:numPr>
        <w:autoSpaceDE w:val="0"/>
        <w:autoSpaceDN w:val="0"/>
        <w:spacing w:after="120" w:line="259" w:lineRule="auto"/>
        <w:jc w:val="both"/>
        <w:rPr>
          <w:rFonts w:eastAsia="Arial" w:cs="Arial"/>
          <w:lang w:eastAsia="hi-IN" w:bidi="hi-IN"/>
        </w:rPr>
      </w:pPr>
      <w:r w:rsidRPr="002D06E6">
        <w:rPr>
          <w:rFonts w:eastAsia="Arial" w:cs="Arial"/>
          <w:lang w:eastAsia="hi-IN" w:bidi="hi-IN"/>
        </w:rPr>
        <w:t>Any Police MME system must include the functionality for CPS to onward share the links to footage with CJS partners.  Police officers</w:t>
      </w:r>
      <w:r w:rsidRPr="002D06E6">
        <w:rPr>
          <w:rFonts w:ascii="Calibri" w:eastAsia="Calibri" w:hAnsi="Calibri"/>
          <w:sz w:val="20"/>
          <w:szCs w:val="20"/>
          <w:vertAlign w:val="superscript"/>
        </w:rPr>
        <w:footnoteReference w:id="7"/>
      </w:r>
      <w:r w:rsidRPr="002D06E6">
        <w:rPr>
          <w:rFonts w:eastAsia="Arial" w:cs="Arial"/>
          <w:lang w:eastAsia="hi-IN" w:bidi="hi-IN"/>
        </w:rPr>
        <w:t xml:space="preserve"> must enable the access for all CJS partners at the time of sharing.  CPS will then review the MME and serve or disclose by onward sharing the URL in the IDPC or via the Crown Court Digital Case System (DCS).</w:t>
      </w:r>
    </w:p>
    <w:p w:rsidR="002D06E6" w:rsidRPr="002D06E6" w:rsidRDefault="002D06E6" w:rsidP="002D06E6">
      <w:pPr>
        <w:widowControl w:val="0"/>
        <w:numPr>
          <w:ilvl w:val="0"/>
          <w:numId w:val="9"/>
        </w:numPr>
        <w:autoSpaceDE w:val="0"/>
        <w:autoSpaceDN w:val="0"/>
        <w:spacing w:after="120" w:line="259" w:lineRule="auto"/>
        <w:jc w:val="both"/>
        <w:rPr>
          <w:rFonts w:eastAsia="Arial" w:cs="Arial"/>
          <w:lang w:eastAsia="hi-IN" w:bidi="hi-IN"/>
        </w:rPr>
      </w:pPr>
      <w:r w:rsidRPr="002D06E6">
        <w:rPr>
          <w:rFonts w:eastAsia="Arial" w:cs="Arial"/>
          <w:lang w:eastAsia="hi-IN" w:bidi="hi-IN"/>
        </w:rPr>
        <w:t xml:space="preserve">A secure and effective method of sharing footage with CJS partners must be available by creating an account-based system authenticated using secure email domains (e.g. CJSM/eJudiciary). </w:t>
      </w:r>
    </w:p>
    <w:p w:rsidR="002D06E6" w:rsidRPr="002D06E6" w:rsidRDefault="002D06E6" w:rsidP="002D06E6">
      <w:pPr>
        <w:widowControl w:val="0"/>
        <w:numPr>
          <w:ilvl w:val="0"/>
          <w:numId w:val="9"/>
        </w:numPr>
        <w:autoSpaceDE w:val="0"/>
        <w:autoSpaceDN w:val="0"/>
        <w:spacing w:after="120" w:line="259" w:lineRule="auto"/>
        <w:jc w:val="both"/>
        <w:rPr>
          <w:rFonts w:eastAsia="Arial" w:cs="Arial"/>
          <w:lang w:eastAsia="hi-IN" w:bidi="hi-IN"/>
        </w:rPr>
      </w:pPr>
      <w:r w:rsidRPr="002D06E6">
        <w:rPr>
          <w:rFonts w:eastAsia="Arial" w:cs="Arial"/>
          <w:lang w:eastAsia="hi-IN" w:bidi="hi-IN"/>
        </w:rPr>
        <w:t>For service/disclosure purposes each individual URL link should relate to one exhibit. Sharing is via an MG0 template until the capability to send the URL link via the LM06 message into CMS is available (anticipated release in 2023).</w:t>
      </w:r>
    </w:p>
    <w:p w:rsidR="002D06E6" w:rsidRPr="002D06E6" w:rsidRDefault="002D06E6" w:rsidP="002D06E6">
      <w:pPr>
        <w:widowControl w:val="0"/>
        <w:autoSpaceDE w:val="0"/>
        <w:autoSpaceDN w:val="0"/>
        <w:spacing w:after="120"/>
        <w:ind w:left="360"/>
        <w:jc w:val="both"/>
        <w:rPr>
          <w:rFonts w:eastAsia="Arial" w:cs="Arial"/>
          <w:lang w:eastAsia="hi-IN" w:bidi="hi-IN"/>
        </w:rPr>
      </w:pPr>
    </w:p>
    <w:p w:rsidR="002D06E6" w:rsidRPr="002D06E6" w:rsidRDefault="002D06E6" w:rsidP="002D06E6">
      <w:pPr>
        <w:widowControl w:val="0"/>
        <w:numPr>
          <w:ilvl w:val="0"/>
          <w:numId w:val="9"/>
        </w:numPr>
        <w:autoSpaceDE w:val="0"/>
        <w:autoSpaceDN w:val="0"/>
        <w:spacing w:after="120" w:line="259" w:lineRule="auto"/>
        <w:jc w:val="both"/>
        <w:rPr>
          <w:rFonts w:eastAsia="Arial" w:cs="Arial"/>
          <w:lang w:eastAsia="hi-IN" w:bidi="hi-IN"/>
        </w:rPr>
      </w:pPr>
      <w:r w:rsidRPr="002D06E6">
        <w:rPr>
          <w:rFonts w:eastAsia="Arial" w:cs="Arial"/>
          <w:lang w:eastAsia="hi-IN" w:bidi="hi-IN"/>
        </w:rPr>
        <w:t>The MG0 documents must be used for both pre- and post-charge submissions over the CJSE into CMS.</w:t>
      </w:r>
    </w:p>
    <w:p w:rsidR="002D06E6" w:rsidRPr="002D06E6" w:rsidRDefault="002D06E6" w:rsidP="002D06E6">
      <w:pPr>
        <w:widowControl w:val="0"/>
        <w:numPr>
          <w:ilvl w:val="0"/>
          <w:numId w:val="9"/>
        </w:numPr>
        <w:autoSpaceDE w:val="0"/>
        <w:autoSpaceDN w:val="0"/>
        <w:spacing w:after="120" w:line="259" w:lineRule="auto"/>
        <w:jc w:val="both"/>
        <w:rPr>
          <w:rFonts w:eastAsia="Arial" w:cs="Arial"/>
          <w:lang w:eastAsia="hi-IN" w:bidi="hi-IN"/>
        </w:rPr>
      </w:pPr>
      <w:r w:rsidRPr="002D06E6">
        <w:rPr>
          <w:rFonts w:eastAsia="Arial" w:cs="Arial"/>
          <w:lang w:eastAsia="hi-IN" w:bidi="hi-IN"/>
        </w:rPr>
        <w:t xml:space="preserve">The MG0 document submission must comply with existing naming conventions and logical messaging, with the </w:t>
      </w:r>
      <w:r w:rsidR="00A9516F">
        <w:rPr>
          <w:rFonts w:eastAsia="Arial" w:cs="Arial"/>
          <w:lang w:eastAsia="hi-IN" w:bidi="hi-IN"/>
        </w:rPr>
        <w:t>MG0</w:t>
      </w:r>
      <w:r w:rsidRPr="002D06E6">
        <w:rPr>
          <w:rFonts w:eastAsia="Arial" w:cs="Arial"/>
          <w:lang w:eastAsia="hi-IN" w:bidi="hi-IN"/>
        </w:rPr>
        <w:t xml:space="preserve"> being sent via an LM06 message and the Unused MME via an LM07 message.</w:t>
      </w:r>
    </w:p>
    <w:p w:rsidR="002D06E6" w:rsidRPr="002D06E6" w:rsidRDefault="002D06E6" w:rsidP="002D06E6">
      <w:pPr>
        <w:widowControl w:val="0"/>
        <w:numPr>
          <w:ilvl w:val="0"/>
          <w:numId w:val="9"/>
        </w:numPr>
        <w:autoSpaceDE w:val="0"/>
        <w:autoSpaceDN w:val="0"/>
        <w:spacing w:after="120" w:line="259" w:lineRule="auto"/>
        <w:jc w:val="both"/>
        <w:rPr>
          <w:rFonts w:eastAsia="Arial" w:cs="Arial"/>
          <w:lang w:eastAsia="hi-IN" w:bidi="hi-IN"/>
        </w:rPr>
      </w:pPr>
      <w:r w:rsidRPr="002D06E6">
        <w:rPr>
          <w:rFonts w:eastAsia="Arial" w:cs="Arial"/>
          <w:lang w:eastAsia="hi-IN" w:bidi="hi-IN"/>
        </w:rPr>
        <w:t>The MG5 must not be used to share the URL link due to GAP cases not being reviewed prior to service of IDPC.</w:t>
      </w:r>
    </w:p>
    <w:p w:rsidR="002D06E6" w:rsidRPr="002D06E6" w:rsidRDefault="002D06E6" w:rsidP="002D06E6">
      <w:pPr>
        <w:widowControl w:val="0"/>
        <w:numPr>
          <w:ilvl w:val="0"/>
          <w:numId w:val="9"/>
        </w:numPr>
        <w:autoSpaceDE w:val="0"/>
        <w:autoSpaceDN w:val="0"/>
        <w:spacing w:after="120" w:line="259" w:lineRule="auto"/>
        <w:jc w:val="both"/>
        <w:rPr>
          <w:rFonts w:eastAsia="Arial" w:cs="Arial"/>
          <w:lang w:eastAsia="hi-IN" w:bidi="hi-IN"/>
        </w:rPr>
      </w:pPr>
      <w:r w:rsidRPr="002D06E6">
        <w:rPr>
          <w:rFonts w:eastAsia="Arial" w:cs="Arial"/>
          <w:lang w:eastAsia="hi-IN" w:bidi="hi-IN"/>
        </w:rPr>
        <w:t>MME must be accessible for the entire duration of a case, including time for the lodging of appeals, and must be retained as per police retention policies.</w:t>
      </w:r>
    </w:p>
    <w:p w:rsidR="002D06E6" w:rsidRPr="002D06E6" w:rsidRDefault="002D06E6" w:rsidP="002D06E6">
      <w:pPr>
        <w:widowControl w:val="0"/>
        <w:numPr>
          <w:ilvl w:val="0"/>
          <w:numId w:val="9"/>
        </w:numPr>
        <w:autoSpaceDE w:val="0"/>
        <w:autoSpaceDN w:val="0"/>
        <w:spacing w:after="120" w:line="259" w:lineRule="auto"/>
        <w:jc w:val="both"/>
        <w:rPr>
          <w:rFonts w:eastAsia="Arial" w:cs="Arial"/>
          <w:lang w:eastAsia="hi-IN" w:bidi="hi-IN"/>
        </w:rPr>
      </w:pPr>
      <w:r w:rsidRPr="002D06E6">
        <w:rPr>
          <w:rFonts w:eastAsia="Arial" w:cs="Arial"/>
          <w:lang w:eastAsia="hi-IN" w:bidi="hi-IN"/>
        </w:rPr>
        <w:t>Redaction of MME will remain the responsibility of the police if required and redacted MME must be submitted using separate MG0 documents.</w:t>
      </w:r>
    </w:p>
    <w:p w:rsidR="002D06E6" w:rsidRPr="002D06E6" w:rsidRDefault="002D06E6" w:rsidP="002D06E6">
      <w:pPr>
        <w:widowControl w:val="0"/>
        <w:numPr>
          <w:ilvl w:val="0"/>
          <w:numId w:val="9"/>
        </w:numPr>
        <w:autoSpaceDE w:val="0"/>
        <w:autoSpaceDN w:val="0"/>
        <w:spacing w:after="120" w:line="259" w:lineRule="auto"/>
        <w:jc w:val="both"/>
        <w:rPr>
          <w:rFonts w:eastAsia="Arial" w:cs="Arial"/>
          <w:lang w:eastAsia="hi-IN" w:bidi="hi-IN"/>
        </w:rPr>
      </w:pPr>
      <w:r w:rsidRPr="002D06E6">
        <w:rPr>
          <w:rFonts w:eastAsia="Arial" w:cs="Arial"/>
          <w:lang w:eastAsia="hi-IN" w:bidi="hi-IN"/>
        </w:rPr>
        <w:t>Following receipt of a link CPS are responsible for sharing MME to other CJS parties.</w:t>
      </w:r>
    </w:p>
    <w:p w:rsidR="002D06E6" w:rsidRPr="002D06E6" w:rsidRDefault="002D06E6" w:rsidP="002D06E6">
      <w:pPr>
        <w:widowControl w:val="0"/>
        <w:autoSpaceDE w:val="0"/>
        <w:autoSpaceDN w:val="0"/>
        <w:rPr>
          <w:rFonts w:eastAsia="Arial" w:cs="Arial"/>
          <w:b/>
          <w:bCs/>
          <w:color w:val="0070C0"/>
          <w:sz w:val="32"/>
          <w:szCs w:val="32"/>
          <w:lang w:eastAsia="hi-IN" w:bidi="hi-IN"/>
        </w:rPr>
      </w:pPr>
    </w:p>
    <w:p w:rsidR="002D06E6" w:rsidRPr="002D06E6" w:rsidRDefault="002D06E6" w:rsidP="002D06E6">
      <w:pPr>
        <w:widowControl w:val="0"/>
        <w:autoSpaceDE w:val="0"/>
        <w:autoSpaceDN w:val="0"/>
        <w:rPr>
          <w:rFonts w:eastAsia="Arial" w:cs="Arial"/>
          <w:b/>
          <w:bCs/>
          <w:color w:val="0070C0"/>
          <w:sz w:val="32"/>
          <w:szCs w:val="32"/>
          <w:lang w:eastAsia="hi-IN" w:bidi="hi-IN"/>
        </w:rPr>
      </w:pPr>
      <w:r w:rsidRPr="002D06E6">
        <w:rPr>
          <w:rFonts w:eastAsia="Arial" w:cs="Arial"/>
          <w:b/>
          <w:bCs/>
          <w:color w:val="0070C0"/>
          <w:sz w:val="32"/>
          <w:szCs w:val="32"/>
          <w:lang w:eastAsia="hi-IN" w:bidi="hi-IN"/>
        </w:rPr>
        <w:t>Access must be via secure and authenticated means</w:t>
      </w:r>
    </w:p>
    <w:p w:rsidR="002D06E6" w:rsidRPr="002D06E6" w:rsidRDefault="002D06E6" w:rsidP="002D06E6">
      <w:pPr>
        <w:widowControl w:val="0"/>
        <w:autoSpaceDE w:val="0"/>
        <w:autoSpaceDN w:val="0"/>
        <w:rPr>
          <w:rFonts w:eastAsia="Arial" w:cs="Arial"/>
          <w:b/>
          <w:bCs/>
          <w:color w:val="0070C0"/>
          <w:sz w:val="32"/>
          <w:szCs w:val="32"/>
          <w:lang w:eastAsia="hi-IN" w:bidi="hi-IN"/>
        </w:rPr>
      </w:pPr>
    </w:p>
    <w:p w:rsidR="002D06E6" w:rsidRPr="002D06E6" w:rsidRDefault="002D06E6" w:rsidP="002D06E6">
      <w:pPr>
        <w:widowControl w:val="0"/>
        <w:numPr>
          <w:ilvl w:val="0"/>
          <w:numId w:val="9"/>
        </w:numPr>
        <w:autoSpaceDE w:val="0"/>
        <w:autoSpaceDN w:val="0"/>
        <w:spacing w:after="120" w:line="259" w:lineRule="auto"/>
        <w:jc w:val="both"/>
        <w:rPr>
          <w:rFonts w:eastAsia="Arial" w:cs="Arial"/>
          <w:lang w:eastAsia="hi-IN" w:bidi="hi-IN"/>
        </w:rPr>
      </w:pPr>
      <w:r w:rsidRPr="002D06E6">
        <w:rPr>
          <w:rFonts w:eastAsia="Arial" w:cs="Arial"/>
          <w:lang w:eastAsia="hi-IN" w:bidi="hi-IN"/>
        </w:rPr>
        <w:t>Defence practitioners, the judiciary and barristers must access the system through the entry of their secure email address and self-selected password.</w:t>
      </w:r>
    </w:p>
    <w:p w:rsidR="002D06E6" w:rsidRPr="002D06E6" w:rsidRDefault="002D06E6" w:rsidP="002D06E6">
      <w:pPr>
        <w:widowControl w:val="0"/>
        <w:numPr>
          <w:ilvl w:val="0"/>
          <w:numId w:val="9"/>
        </w:numPr>
        <w:autoSpaceDE w:val="0"/>
        <w:autoSpaceDN w:val="0"/>
        <w:spacing w:after="120" w:line="259" w:lineRule="auto"/>
        <w:jc w:val="both"/>
        <w:rPr>
          <w:rFonts w:eastAsia="Arial" w:cs="Arial"/>
          <w:lang w:eastAsia="hi-IN" w:bidi="hi-IN"/>
        </w:rPr>
      </w:pPr>
      <w:r w:rsidRPr="002D06E6">
        <w:rPr>
          <w:rFonts w:eastAsia="Arial" w:cs="Arial"/>
          <w:lang w:eastAsia="hi-IN" w:bidi="hi-IN"/>
        </w:rPr>
        <w:t>CJSM users must have their secure email address validated at the point of system registration to ensure they are a valid secure email user.</w:t>
      </w:r>
    </w:p>
    <w:p w:rsidR="002D06E6" w:rsidRPr="002D06E6" w:rsidRDefault="002D06E6" w:rsidP="002D06E6">
      <w:pPr>
        <w:widowControl w:val="0"/>
        <w:numPr>
          <w:ilvl w:val="0"/>
          <w:numId w:val="9"/>
        </w:numPr>
        <w:autoSpaceDE w:val="0"/>
        <w:autoSpaceDN w:val="0"/>
        <w:spacing w:after="120" w:line="259" w:lineRule="auto"/>
        <w:jc w:val="both"/>
        <w:rPr>
          <w:rFonts w:eastAsia="Arial" w:cs="Arial"/>
          <w:lang w:eastAsia="hi-IN" w:bidi="hi-IN"/>
        </w:rPr>
      </w:pPr>
      <w:r w:rsidRPr="002D06E6">
        <w:rPr>
          <w:rFonts w:eastAsia="Arial" w:cs="Arial"/>
          <w:lang w:eastAsia="hi-IN" w:bidi="hi-IN"/>
        </w:rPr>
        <w:t>Password resets must be automatically required after set periods of time to maximise security.</w:t>
      </w:r>
    </w:p>
    <w:p w:rsidR="002D06E6" w:rsidRPr="002D06E6" w:rsidRDefault="002D06E6" w:rsidP="002D06E6">
      <w:pPr>
        <w:widowControl w:val="0"/>
        <w:numPr>
          <w:ilvl w:val="0"/>
          <w:numId w:val="9"/>
        </w:numPr>
        <w:autoSpaceDE w:val="0"/>
        <w:autoSpaceDN w:val="0"/>
        <w:spacing w:after="120" w:line="259" w:lineRule="auto"/>
        <w:jc w:val="both"/>
        <w:rPr>
          <w:rFonts w:eastAsia="Arial" w:cs="Arial"/>
          <w:lang w:eastAsia="hi-IN" w:bidi="hi-IN"/>
        </w:rPr>
      </w:pPr>
      <w:r w:rsidRPr="002D06E6">
        <w:rPr>
          <w:rFonts w:eastAsia="Arial" w:cs="Arial"/>
          <w:lang w:eastAsia="hi-IN" w:bidi="hi-IN"/>
        </w:rPr>
        <w:t>Auditing functionality must be built into the system but must only be accessible by a limited number of suitably authorised personnel with the right security clearance in a set of specific circumstances.</w:t>
      </w:r>
    </w:p>
    <w:p w:rsidR="002D06E6" w:rsidRPr="002D06E6" w:rsidRDefault="002D06E6" w:rsidP="002D06E6">
      <w:pPr>
        <w:widowControl w:val="0"/>
        <w:numPr>
          <w:ilvl w:val="0"/>
          <w:numId w:val="9"/>
        </w:numPr>
        <w:autoSpaceDE w:val="0"/>
        <w:autoSpaceDN w:val="0"/>
        <w:spacing w:after="120" w:line="259" w:lineRule="auto"/>
        <w:jc w:val="both"/>
        <w:rPr>
          <w:rFonts w:eastAsia="Arial" w:cs="Arial"/>
          <w:lang w:eastAsia="hi-IN" w:bidi="hi-IN"/>
        </w:rPr>
      </w:pPr>
      <w:r w:rsidRPr="002D06E6">
        <w:rPr>
          <w:rFonts w:eastAsia="Arial" w:cs="Arial"/>
          <w:lang w:eastAsia="hi-IN" w:bidi="hi-IN"/>
        </w:rPr>
        <w:t>URL links must be capable of deactivation if disclosed to unauthorised users.</w:t>
      </w:r>
    </w:p>
    <w:p w:rsidR="002D06E6" w:rsidRPr="002D06E6" w:rsidRDefault="002D06E6" w:rsidP="002D06E6">
      <w:pPr>
        <w:widowControl w:val="0"/>
        <w:numPr>
          <w:ilvl w:val="0"/>
          <w:numId w:val="9"/>
        </w:numPr>
        <w:autoSpaceDE w:val="0"/>
        <w:autoSpaceDN w:val="0"/>
        <w:spacing w:after="120" w:line="259" w:lineRule="auto"/>
        <w:jc w:val="both"/>
        <w:rPr>
          <w:rFonts w:eastAsia="Arial" w:cs="Arial"/>
          <w:lang w:eastAsia="hi-IN" w:bidi="hi-IN"/>
        </w:rPr>
      </w:pPr>
      <w:r w:rsidRPr="002D06E6">
        <w:rPr>
          <w:rFonts w:eastAsia="Arial" w:cs="Arial"/>
          <w:lang w:eastAsia="hi-IN" w:bidi="hi-IN"/>
        </w:rPr>
        <w:t>CPS access should be through an automated single sign-on process.</w:t>
      </w:r>
    </w:p>
    <w:p w:rsidR="002D06E6" w:rsidRPr="002D06E6" w:rsidRDefault="002D06E6" w:rsidP="002D06E6">
      <w:pPr>
        <w:widowControl w:val="0"/>
        <w:autoSpaceDE w:val="0"/>
        <w:autoSpaceDN w:val="0"/>
        <w:rPr>
          <w:rFonts w:cs="Mangal"/>
          <w:b/>
          <w:bCs/>
          <w:color w:val="005DAA"/>
          <w:kern w:val="32"/>
          <w:lang w:eastAsia="hi-IN" w:bidi="hi-IN"/>
        </w:rPr>
      </w:pPr>
    </w:p>
    <w:p w:rsidR="002D06E6" w:rsidRPr="002D06E6" w:rsidRDefault="002D06E6" w:rsidP="002D06E6">
      <w:pPr>
        <w:widowControl w:val="0"/>
        <w:autoSpaceDE w:val="0"/>
        <w:autoSpaceDN w:val="0"/>
        <w:rPr>
          <w:rFonts w:cs="Mangal"/>
          <w:b/>
          <w:bCs/>
          <w:color w:val="0070C0"/>
          <w:kern w:val="32"/>
          <w:sz w:val="32"/>
          <w:szCs w:val="29"/>
          <w:lang w:eastAsia="hi-IN" w:bidi="hi-IN"/>
        </w:rPr>
      </w:pPr>
      <w:r w:rsidRPr="002D06E6">
        <w:rPr>
          <w:rFonts w:cs="Mangal"/>
          <w:b/>
          <w:bCs/>
          <w:color w:val="0070C0"/>
          <w:kern w:val="32"/>
          <w:sz w:val="32"/>
          <w:szCs w:val="29"/>
          <w:lang w:eastAsia="hi-IN" w:bidi="hi-IN"/>
        </w:rPr>
        <w:t>Relevant metadata must be displayed on the MME</w:t>
      </w:r>
    </w:p>
    <w:p w:rsidR="002D06E6" w:rsidRPr="002D06E6" w:rsidRDefault="002D06E6" w:rsidP="002D06E6">
      <w:pPr>
        <w:widowControl w:val="0"/>
        <w:autoSpaceDE w:val="0"/>
        <w:autoSpaceDN w:val="0"/>
        <w:rPr>
          <w:rFonts w:cs="Mangal"/>
          <w:b/>
          <w:bCs/>
          <w:color w:val="0070C0"/>
          <w:kern w:val="32"/>
          <w:sz w:val="32"/>
          <w:szCs w:val="29"/>
          <w:lang w:eastAsia="hi-IN" w:bidi="hi-IN"/>
        </w:rPr>
      </w:pPr>
    </w:p>
    <w:p w:rsidR="002D06E6" w:rsidRPr="002D06E6" w:rsidRDefault="002D06E6" w:rsidP="002D06E6">
      <w:pPr>
        <w:widowControl w:val="0"/>
        <w:numPr>
          <w:ilvl w:val="0"/>
          <w:numId w:val="9"/>
        </w:numPr>
        <w:autoSpaceDE w:val="0"/>
        <w:autoSpaceDN w:val="0"/>
        <w:spacing w:after="120" w:line="259" w:lineRule="auto"/>
        <w:jc w:val="both"/>
        <w:rPr>
          <w:rFonts w:eastAsia="Arial" w:cs="Arial"/>
          <w:lang w:eastAsia="hi-IN" w:bidi="hi-IN"/>
        </w:rPr>
      </w:pPr>
      <w:r w:rsidRPr="002D06E6">
        <w:rPr>
          <w:rFonts w:eastAsia="Arial" w:cs="Arial"/>
          <w:lang w:eastAsia="hi-IN" w:bidi="hi-IN"/>
        </w:rPr>
        <w:t>The exhibit reference and description must be contained within the LM06 message sent to CMS.</w:t>
      </w:r>
    </w:p>
    <w:p w:rsidR="002D06E6" w:rsidRPr="002D06E6" w:rsidRDefault="002D06E6" w:rsidP="002D06E6">
      <w:pPr>
        <w:widowControl w:val="0"/>
        <w:numPr>
          <w:ilvl w:val="0"/>
          <w:numId w:val="9"/>
        </w:numPr>
        <w:autoSpaceDE w:val="0"/>
        <w:autoSpaceDN w:val="0"/>
        <w:spacing w:after="120" w:line="259" w:lineRule="auto"/>
        <w:jc w:val="both"/>
        <w:rPr>
          <w:rFonts w:eastAsia="Arial" w:cs="Arial"/>
          <w:lang w:eastAsia="hi-IN" w:bidi="hi-IN"/>
        </w:rPr>
      </w:pPr>
      <w:r w:rsidRPr="002D06E6">
        <w:rPr>
          <w:rFonts w:eastAsia="Arial" w:cs="Arial"/>
          <w:lang w:eastAsia="hi-IN" w:bidi="hi-IN"/>
        </w:rPr>
        <w:t>On accessing the URL link, the file size and clip duration must be displayed to indicate the impact it may have on IT infrastructure and the time required for review.</w:t>
      </w:r>
    </w:p>
    <w:p w:rsidR="002D06E6" w:rsidRPr="002D06E6" w:rsidRDefault="002D06E6" w:rsidP="002D06E6">
      <w:pPr>
        <w:widowControl w:val="0"/>
        <w:numPr>
          <w:ilvl w:val="0"/>
          <w:numId w:val="9"/>
        </w:numPr>
        <w:autoSpaceDE w:val="0"/>
        <w:autoSpaceDN w:val="0"/>
        <w:spacing w:after="120" w:line="259" w:lineRule="auto"/>
        <w:jc w:val="both"/>
        <w:rPr>
          <w:rFonts w:eastAsia="Arial" w:cs="Arial"/>
          <w:lang w:eastAsia="hi-IN" w:bidi="hi-IN"/>
        </w:rPr>
      </w:pPr>
      <w:r w:rsidRPr="002D06E6">
        <w:rPr>
          <w:rFonts w:eastAsia="Arial" w:cs="Arial"/>
          <w:lang w:eastAsia="hi-IN" w:bidi="hi-IN"/>
        </w:rPr>
        <w:t>Where captured, the time and date must be displayed on the MME to aid review and presentation in court.</w:t>
      </w:r>
    </w:p>
    <w:p w:rsidR="002D06E6" w:rsidRPr="002D06E6" w:rsidRDefault="002D06E6" w:rsidP="002D06E6">
      <w:pPr>
        <w:widowControl w:val="0"/>
        <w:numPr>
          <w:ilvl w:val="0"/>
          <w:numId w:val="9"/>
        </w:numPr>
        <w:autoSpaceDE w:val="0"/>
        <w:autoSpaceDN w:val="0"/>
        <w:spacing w:after="160" w:line="259" w:lineRule="auto"/>
        <w:jc w:val="both"/>
        <w:rPr>
          <w:rFonts w:eastAsia="Arial" w:cs="Arial"/>
          <w:lang w:eastAsia="hi-IN" w:bidi="hi-IN"/>
        </w:rPr>
      </w:pPr>
      <w:r w:rsidRPr="002D06E6">
        <w:rPr>
          <w:rFonts w:eastAsia="Arial" w:cs="Arial"/>
          <w:lang w:eastAsia="hi-IN" w:bidi="hi-IN"/>
        </w:rPr>
        <w:t xml:space="preserve">Submitted MME must not exceed 10 minutes unless there is a legitimate evidential reason to submit MME longer than this.  In these circumstances, an explanation must be included in the </w:t>
      </w:r>
      <w:r w:rsidR="00A9516F">
        <w:rPr>
          <w:rFonts w:eastAsia="Arial" w:cs="Arial"/>
          <w:lang w:eastAsia="hi-IN" w:bidi="hi-IN"/>
        </w:rPr>
        <w:t>MG0</w:t>
      </w:r>
      <w:r w:rsidRPr="002D06E6">
        <w:rPr>
          <w:rFonts w:eastAsia="Arial" w:cs="Arial"/>
          <w:lang w:eastAsia="hi-IN" w:bidi="hi-IN"/>
        </w:rPr>
        <w:t xml:space="preserve"> document to prevent automatic rejection.  Once the capability to send the URL link via the LM06 message into CMS is available, this information should be submitted using the MG6.</w:t>
      </w:r>
      <w:r w:rsidRPr="002D06E6">
        <w:rPr>
          <w:rFonts w:eastAsia="Arial" w:cs="Arial"/>
          <w:lang w:eastAsia="hi-IN" w:bidi="hi-IN"/>
        </w:rPr>
        <w:br w:type="page"/>
      </w:r>
    </w:p>
    <w:p w:rsidR="002D06E6" w:rsidRPr="002D06E6" w:rsidRDefault="002D06E6" w:rsidP="002D06E6">
      <w:pPr>
        <w:widowControl w:val="0"/>
        <w:autoSpaceDE w:val="0"/>
        <w:autoSpaceDN w:val="0"/>
        <w:rPr>
          <w:rFonts w:eastAsia="Arial" w:cs="Arial"/>
          <w:b/>
          <w:bCs/>
          <w:color w:val="0070C0"/>
          <w:sz w:val="32"/>
          <w:szCs w:val="32"/>
          <w:lang w:eastAsia="hi-IN" w:bidi="hi-IN"/>
        </w:rPr>
      </w:pPr>
      <w:r w:rsidRPr="002D06E6">
        <w:rPr>
          <w:rFonts w:eastAsia="Arial" w:cs="Arial"/>
          <w:b/>
          <w:bCs/>
          <w:color w:val="0070C0"/>
          <w:sz w:val="32"/>
          <w:szCs w:val="32"/>
          <w:lang w:eastAsia="hi-IN" w:bidi="hi-IN"/>
        </w:rPr>
        <w:t>MME must be capable of being streamed and downloaded</w:t>
      </w:r>
    </w:p>
    <w:p w:rsidR="002D06E6" w:rsidRPr="002D06E6" w:rsidRDefault="002D06E6" w:rsidP="002D06E6">
      <w:pPr>
        <w:widowControl w:val="0"/>
        <w:autoSpaceDE w:val="0"/>
        <w:autoSpaceDN w:val="0"/>
        <w:rPr>
          <w:rFonts w:eastAsia="Arial" w:cs="Arial"/>
          <w:b/>
          <w:bCs/>
          <w:color w:val="0070C0"/>
          <w:sz w:val="32"/>
          <w:szCs w:val="32"/>
          <w:lang w:eastAsia="hi-IN" w:bidi="hi-IN"/>
        </w:rPr>
      </w:pPr>
    </w:p>
    <w:p w:rsidR="002D06E6" w:rsidRPr="002D06E6" w:rsidRDefault="002D06E6" w:rsidP="002D06E6">
      <w:pPr>
        <w:widowControl w:val="0"/>
        <w:numPr>
          <w:ilvl w:val="0"/>
          <w:numId w:val="10"/>
        </w:numPr>
        <w:autoSpaceDE w:val="0"/>
        <w:autoSpaceDN w:val="0"/>
        <w:spacing w:after="120" w:line="259" w:lineRule="auto"/>
        <w:jc w:val="both"/>
        <w:rPr>
          <w:rFonts w:eastAsia="Arial" w:cs="Arial"/>
          <w:lang w:eastAsia="hi-IN" w:bidi="hi-IN"/>
        </w:rPr>
      </w:pPr>
      <w:r w:rsidRPr="002D06E6">
        <w:rPr>
          <w:rFonts w:eastAsia="Arial" w:cs="Arial"/>
          <w:lang w:eastAsia="hi-IN" w:bidi="hi-IN"/>
        </w:rPr>
        <w:t>Streaming capability is required so MME can be reviewed without the need to download.</w:t>
      </w:r>
    </w:p>
    <w:p w:rsidR="002D06E6" w:rsidRPr="002D06E6" w:rsidRDefault="002D06E6" w:rsidP="002D06E6">
      <w:pPr>
        <w:widowControl w:val="0"/>
        <w:numPr>
          <w:ilvl w:val="0"/>
          <w:numId w:val="10"/>
        </w:numPr>
        <w:autoSpaceDE w:val="0"/>
        <w:autoSpaceDN w:val="0"/>
        <w:spacing w:after="120" w:line="259" w:lineRule="auto"/>
        <w:jc w:val="both"/>
        <w:rPr>
          <w:rFonts w:eastAsia="Arial" w:cs="Arial"/>
          <w:lang w:eastAsia="hi-IN" w:bidi="hi-IN"/>
        </w:rPr>
      </w:pPr>
      <w:r w:rsidRPr="002D06E6">
        <w:rPr>
          <w:rFonts w:eastAsia="Arial" w:cs="Arial"/>
          <w:lang w:eastAsia="hi-IN" w:bidi="hi-IN"/>
        </w:rPr>
        <w:t>Streaming capability built into the system must be compatible with all mainstream web browsers (e.g. Chrome, Firefox, Edge, Safari).</w:t>
      </w:r>
    </w:p>
    <w:p w:rsidR="002D06E6" w:rsidRPr="002D06E6" w:rsidRDefault="002D06E6" w:rsidP="002D06E6">
      <w:pPr>
        <w:widowControl w:val="0"/>
        <w:numPr>
          <w:ilvl w:val="0"/>
          <w:numId w:val="10"/>
        </w:numPr>
        <w:autoSpaceDE w:val="0"/>
        <w:autoSpaceDN w:val="0"/>
        <w:spacing w:after="120" w:line="259" w:lineRule="auto"/>
        <w:jc w:val="both"/>
        <w:rPr>
          <w:rFonts w:eastAsia="Arial" w:cs="Arial"/>
          <w:lang w:eastAsia="hi-IN" w:bidi="hi-IN"/>
        </w:rPr>
      </w:pPr>
      <w:r w:rsidRPr="002D06E6">
        <w:rPr>
          <w:rFonts w:eastAsia="Arial" w:cs="Arial"/>
          <w:lang w:eastAsia="hi-IN" w:bidi="hi-IN"/>
        </w:rPr>
        <w:t>Download capability is required to ensure MME can be played in the courtroom without relying on Wi-Fi and to enable defence practitioners to take client instructions from within a custody environment.</w:t>
      </w:r>
    </w:p>
    <w:p w:rsidR="002D06E6" w:rsidRPr="002D06E6" w:rsidRDefault="002D06E6" w:rsidP="002D06E6">
      <w:pPr>
        <w:widowControl w:val="0"/>
        <w:numPr>
          <w:ilvl w:val="0"/>
          <w:numId w:val="10"/>
        </w:numPr>
        <w:autoSpaceDE w:val="0"/>
        <w:autoSpaceDN w:val="0"/>
        <w:spacing w:after="120" w:line="259" w:lineRule="auto"/>
        <w:jc w:val="both"/>
        <w:rPr>
          <w:rFonts w:eastAsia="Arial" w:cs="Arial"/>
          <w:lang w:eastAsia="hi-IN" w:bidi="hi-IN"/>
        </w:rPr>
      </w:pPr>
      <w:r w:rsidRPr="002D06E6">
        <w:rPr>
          <w:rFonts w:eastAsia="Arial" w:cs="Arial"/>
          <w:lang w:eastAsia="hi-IN" w:bidi="hi-IN"/>
        </w:rPr>
        <w:t>The preferred file formats are .mp4 for video and .mp3 for audio, but as a minimum the MME must be capable of being viewed using VLC Media Player.</w:t>
      </w:r>
    </w:p>
    <w:p w:rsidR="002D06E6" w:rsidRPr="002D06E6" w:rsidRDefault="002D06E6" w:rsidP="002D06E6">
      <w:pPr>
        <w:widowControl w:val="0"/>
        <w:numPr>
          <w:ilvl w:val="0"/>
          <w:numId w:val="10"/>
        </w:numPr>
        <w:autoSpaceDE w:val="0"/>
        <w:autoSpaceDN w:val="0"/>
        <w:spacing w:after="120" w:line="259" w:lineRule="auto"/>
        <w:jc w:val="both"/>
        <w:rPr>
          <w:rFonts w:eastAsia="Arial" w:cs="Arial"/>
          <w:lang w:eastAsia="hi-IN" w:bidi="hi-IN"/>
        </w:rPr>
      </w:pPr>
      <w:r w:rsidRPr="002D06E6">
        <w:rPr>
          <w:rFonts w:eastAsia="Arial" w:cs="Arial"/>
          <w:lang w:eastAsia="hi-IN" w:bidi="hi-IN"/>
        </w:rPr>
        <w:t>The URL links must be active and directly clickable within an MG0 document sent by the police and in due course in the LM06 message in CMS.</w:t>
      </w:r>
    </w:p>
    <w:p w:rsidR="002D06E6" w:rsidRPr="002D06E6" w:rsidRDefault="002D06E6" w:rsidP="002D06E6">
      <w:pPr>
        <w:widowControl w:val="0"/>
        <w:numPr>
          <w:ilvl w:val="0"/>
          <w:numId w:val="10"/>
        </w:numPr>
        <w:autoSpaceDE w:val="0"/>
        <w:autoSpaceDN w:val="0"/>
        <w:spacing w:after="120" w:line="259" w:lineRule="auto"/>
        <w:jc w:val="both"/>
        <w:rPr>
          <w:rFonts w:eastAsia="Arial" w:cs="Arial"/>
          <w:lang w:eastAsia="hi-IN" w:bidi="hi-IN"/>
        </w:rPr>
      </w:pPr>
      <w:r w:rsidRPr="002D06E6">
        <w:rPr>
          <w:rFonts w:eastAsia="Arial" w:cs="Arial"/>
          <w:lang w:eastAsia="hi-IN" w:bidi="hi-IN"/>
        </w:rPr>
        <w:t>Additional storage of material must be minimised across CPS and other agencies.</w:t>
      </w:r>
    </w:p>
    <w:p w:rsidR="002D06E6" w:rsidRPr="002D06E6" w:rsidRDefault="002D06E6" w:rsidP="002D06E6">
      <w:pPr>
        <w:widowControl w:val="0"/>
        <w:autoSpaceDE w:val="0"/>
        <w:autoSpaceDN w:val="0"/>
        <w:spacing w:after="120"/>
        <w:jc w:val="both"/>
        <w:rPr>
          <w:rFonts w:eastAsia="Arial" w:cs="Arial"/>
          <w:lang w:eastAsia="hi-IN" w:bidi="hi-IN"/>
        </w:rPr>
      </w:pPr>
    </w:p>
    <w:p w:rsidR="002D06E6" w:rsidRPr="002D06E6" w:rsidRDefault="002D06E6" w:rsidP="002D06E6">
      <w:pPr>
        <w:widowControl w:val="0"/>
        <w:autoSpaceDE w:val="0"/>
        <w:autoSpaceDN w:val="0"/>
        <w:rPr>
          <w:rFonts w:eastAsia="Arial" w:cs="Arial"/>
          <w:b/>
          <w:bCs/>
          <w:color w:val="0070C0"/>
          <w:sz w:val="32"/>
          <w:szCs w:val="32"/>
          <w:lang w:eastAsia="hi-IN" w:bidi="hi-IN"/>
        </w:rPr>
      </w:pPr>
      <w:r w:rsidRPr="002D06E6">
        <w:rPr>
          <w:rFonts w:eastAsia="Arial" w:cs="Arial"/>
          <w:b/>
          <w:bCs/>
          <w:color w:val="0070C0"/>
          <w:sz w:val="32"/>
          <w:szCs w:val="32"/>
          <w:lang w:eastAsia="hi-IN" w:bidi="hi-IN"/>
        </w:rPr>
        <w:t>CPS is responsible for disclosure and service of MME across the CJS</w:t>
      </w:r>
    </w:p>
    <w:p w:rsidR="002D06E6" w:rsidRPr="002D06E6" w:rsidRDefault="002D06E6" w:rsidP="002D06E6">
      <w:pPr>
        <w:widowControl w:val="0"/>
        <w:autoSpaceDE w:val="0"/>
        <w:autoSpaceDN w:val="0"/>
        <w:rPr>
          <w:rFonts w:eastAsia="Arial" w:cs="Arial"/>
          <w:b/>
          <w:bCs/>
          <w:color w:val="0070C0"/>
          <w:sz w:val="32"/>
          <w:szCs w:val="44"/>
          <w:lang w:eastAsia="en-GB" w:bidi="en-GB"/>
        </w:rPr>
      </w:pPr>
    </w:p>
    <w:p w:rsidR="002D06E6" w:rsidRPr="002D06E6" w:rsidRDefault="002D06E6" w:rsidP="002D06E6">
      <w:pPr>
        <w:widowControl w:val="0"/>
        <w:numPr>
          <w:ilvl w:val="0"/>
          <w:numId w:val="10"/>
        </w:numPr>
        <w:autoSpaceDE w:val="0"/>
        <w:autoSpaceDN w:val="0"/>
        <w:spacing w:after="120" w:line="259" w:lineRule="auto"/>
        <w:jc w:val="both"/>
        <w:rPr>
          <w:rFonts w:eastAsia="Arial" w:cs="Arial"/>
          <w:lang w:eastAsia="hi-IN" w:bidi="hi-IN"/>
        </w:rPr>
      </w:pPr>
      <w:r w:rsidRPr="002D06E6">
        <w:rPr>
          <w:rFonts w:eastAsia="Arial" w:cs="Arial"/>
          <w:lang w:eastAsia="hi-IN" w:bidi="hi-IN"/>
        </w:rPr>
        <w:t xml:space="preserve">Any party that streams media is responsible for doing so in accordance with GDPR requirements. </w:t>
      </w:r>
    </w:p>
    <w:p w:rsidR="002D06E6" w:rsidRPr="002D06E6" w:rsidRDefault="002D06E6" w:rsidP="002D06E6">
      <w:pPr>
        <w:widowControl w:val="0"/>
        <w:numPr>
          <w:ilvl w:val="0"/>
          <w:numId w:val="10"/>
        </w:numPr>
        <w:autoSpaceDE w:val="0"/>
        <w:autoSpaceDN w:val="0"/>
        <w:spacing w:after="120" w:line="259" w:lineRule="auto"/>
        <w:jc w:val="both"/>
        <w:rPr>
          <w:rFonts w:eastAsia="Arial" w:cs="Arial"/>
          <w:lang w:eastAsia="hi-IN" w:bidi="hi-IN"/>
        </w:rPr>
      </w:pPr>
      <w:r w:rsidRPr="002D06E6">
        <w:rPr>
          <w:rFonts w:eastAsia="Arial" w:cs="Arial"/>
          <w:lang w:eastAsia="hi-IN" w:bidi="hi-IN"/>
        </w:rPr>
        <w:t>Any party downloading media becomes the data controller for that copy of the media and is responsible for its safeguarding and subsequent secure destruction.</w:t>
      </w:r>
    </w:p>
    <w:p w:rsidR="002D06E6" w:rsidRPr="002D06E6" w:rsidRDefault="002D06E6" w:rsidP="002D06E6">
      <w:pPr>
        <w:widowControl w:val="0"/>
        <w:numPr>
          <w:ilvl w:val="0"/>
          <w:numId w:val="10"/>
        </w:numPr>
        <w:autoSpaceDE w:val="0"/>
        <w:autoSpaceDN w:val="0"/>
        <w:spacing w:after="120" w:line="259" w:lineRule="auto"/>
        <w:jc w:val="both"/>
        <w:rPr>
          <w:rFonts w:eastAsia="Arial" w:cs="Arial"/>
          <w:lang w:eastAsia="hi-IN" w:bidi="hi-IN"/>
        </w:rPr>
      </w:pPr>
      <w:r w:rsidRPr="002D06E6">
        <w:rPr>
          <w:rFonts w:eastAsia="Arial" w:cs="Arial"/>
          <w:lang w:eastAsia="hi-IN" w:bidi="hi-IN"/>
        </w:rPr>
        <w:t>Any party onward sharing media becomes the data controller for that link and is responsible for ensuring that the sharing is secure and to the correct parties.</w:t>
      </w:r>
    </w:p>
    <w:p w:rsidR="002D06E6" w:rsidRPr="002D06E6" w:rsidRDefault="002D06E6" w:rsidP="002D06E6">
      <w:pPr>
        <w:widowControl w:val="0"/>
        <w:numPr>
          <w:ilvl w:val="0"/>
          <w:numId w:val="10"/>
        </w:numPr>
        <w:autoSpaceDE w:val="0"/>
        <w:autoSpaceDN w:val="0"/>
        <w:spacing w:after="120" w:line="259" w:lineRule="auto"/>
        <w:jc w:val="both"/>
        <w:rPr>
          <w:rFonts w:eastAsia="Arial" w:cs="Arial"/>
          <w:lang w:eastAsia="hi-IN" w:bidi="hi-IN"/>
        </w:rPr>
      </w:pPr>
      <w:r w:rsidRPr="002D06E6">
        <w:rPr>
          <w:rFonts w:eastAsia="Arial" w:cs="Arial"/>
          <w:lang w:eastAsia="hi-IN" w:bidi="hi-IN"/>
        </w:rPr>
        <w:t xml:space="preserve">Where there is a data breach in relation to inappropriate streaming, downloading or sharing of media the agency that undertook this action is responsible for the breach, liaising to notify the police of the breach and any reporting to the ICO that may be required. </w:t>
      </w:r>
    </w:p>
    <w:p w:rsidR="002D06E6" w:rsidRPr="002D06E6" w:rsidRDefault="002D06E6" w:rsidP="002D06E6">
      <w:pPr>
        <w:widowControl w:val="0"/>
        <w:autoSpaceDE w:val="0"/>
        <w:autoSpaceDN w:val="0"/>
        <w:rPr>
          <w:rFonts w:eastAsia="Arial" w:cs="Arial"/>
          <w:lang w:eastAsia="hi-IN" w:bidi="hi-IN"/>
        </w:rPr>
      </w:pPr>
    </w:p>
    <w:p w:rsidR="002D06E6" w:rsidRPr="002D06E6" w:rsidRDefault="002D06E6" w:rsidP="002D06E6">
      <w:pPr>
        <w:widowControl w:val="0"/>
        <w:autoSpaceDE w:val="0"/>
        <w:autoSpaceDN w:val="0"/>
        <w:rPr>
          <w:rFonts w:cs="Mangal"/>
          <w:b/>
          <w:bCs/>
          <w:color w:val="0070C0"/>
          <w:kern w:val="32"/>
          <w:sz w:val="32"/>
          <w:szCs w:val="29"/>
          <w:lang w:eastAsia="hi-IN" w:bidi="hi-IN"/>
        </w:rPr>
      </w:pPr>
      <w:r w:rsidRPr="002D06E6">
        <w:rPr>
          <w:rFonts w:cs="Mangal"/>
          <w:b/>
          <w:bCs/>
          <w:color w:val="0070C0"/>
          <w:kern w:val="32"/>
          <w:sz w:val="32"/>
          <w:szCs w:val="29"/>
          <w:lang w:eastAsia="hi-IN" w:bidi="hi-IN"/>
        </w:rPr>
        <w:t>Digital Media must be available at every stage of the judicial process</w:t>
      </w:r>
    </w:p>
    <w:p w:rsidR="002D06E6" w:rsidRPr="002D06E6" w:rsidRDefault="002D06E6" w:rsidP="002D06E6">
      <w:pPr>
        <w:widowControl w:val="0"/>
        <w:autoSpaceDE w:val="0"/>
        <w:autoSpaceDN w:val="0"/>
        <w:rPr>
          <w:rFonts w:cs="Mangal"/>
          <w:b/>
          <w:bCs/>
          <w:color w:val="0070C0"/>
          <w:kern w:val="32"/>
          <w:sz w:val="32"/>
          <w:szCs w:val="29"/>
          <w:lang w:eastAsia="hi-IN" w:bidi="hi-IN"/>
        </w:rPr>
      </w:pPr>
    </w:p>
    <w:p w:rsidR="002D06E6" w:rsidRPr="002D06E6" w:rsidRDefault="002D06E6" w:rsidP="002D06E6">
      <w:pPr>
        <w:widowControl w:val="0"/>
        <w:numPr>
          <w:ilvl w:val="0"/>
          <w:numId w:val="10"/>
        </w:numPr>
        <w:autoSpaceDE w:val="0"/>
        <w:autoSpaceDN w:val="0"/>
        <w:spacing w:after="120" w:line="259" w:lineRule="auto"/>
        <w:jc w:val="both"/>
        <w:rPr>
          <w:rFonts w:eastAsia="Arial" w:cs="Arial"/>
          <w:lang w:eastAsia="hi-IN" w:bidi="hi-IN"/>
        </w:rPr>
      </w:pPr>
      <w:r w:rsidRPr="002D06E6">
        <w:rPr>
          <w:rFonts w:eastAsia="Arial" w:cs="Arial"/>
          <w:lang w:eastAsia="hi-IN" w:bidi="hi-IN"/>
        </w:rPr>
        <w:t>Media clips must not expire while the case is in progress.  It is recommended that clips are not deactivated until the appeal period ha</w:t>
      </w:r>
      <w:r w:rsidR="00A578ED">
        <w:rPr>
          <w:rFonts w:eastAsia="Arial" w:cs="Arial"/>
          <w:lang w:eastAsia="hi-IN" w:bidi="hi-IN"/>
        </w:rPr>
        <w:t>s</w:t>
      </w:r>
      <w:r w:rsidRPr="002D06E6">
        <w:rPr>
          <w:rFonts w:eastAsia="Arial" w:cs="Arial"/>
          <w:lang w:eastAsia="hi-IN" w:bidi="hi-IN"/>
        </w:rPr>
        <w:t xml:space="preserve"> concluded. </w:t>
      </w:r>
    </w:p>
    <w:p w:rsidR="002D06E6" w:rsidRPr="002D06E6" w:rsidRDefault="002D06E6" w:rsidP="002D06E6">
      <w:pPr>
        <w:widowControl w:val="0"/>
        <w:numPr>
          <w:ilvl w:val="0"/>
          <w:numId w:val="10"/>
        </w:numPr>
        <w:autoSpaceDE w:val="0"/>
        <w:autoSpaceDN w:val="0"/>
        <w:spacing w:after="120" w:line="259" w:lineRule="auto"/>
        <w:jc w:val="both"/>
        <w:rPr>
          <w:rFonts w:eastAsia="Arial" w:cs="Arial"/>
          <w:lang w:eastAsia="hi-IN" w:bidi="hi-IN"/>
        </w:rPr>
      </w:pPr>
      <w:r w:rsidRPr="002D06E6">
        <w:rPr>
          <w:rFonts w:eastAsia="Arial" w:cs="Arial"/>
          <w:lang w:eastAsia="hi-IN" w:bidi="hi-IN"/>
        </w:rPr>
        <w:t>Advocates are required to download media for presentation in court as police cannot guarantee 24-hour availability of streaming services and reliance should not be placed on court Wi-Fi.</w:t>
      </w:r>
    </w:p>
    <w:p w:rsidR="002D06E6" w:rsidRPr="002D06E6" w:rsidRDefault="002D06E6" w:rsidP="002D06E6">
      <w:pPr>
        <w:widowControl w:val="0"/>
        <w:numPr>
          <w:ilvl w:val="0"/>
          <w:numId w:val="10"/>
        </w:numPr>
        <w:autoSpaceDE w:val="0"/>
        <w:autoSpaceDN w:val="0"/>
        <w:spacing w:after="120" w:line="259" w:lineRule="auto"/>
        <w:jc w:val="both"/>
        <w:rPr>
          <w:rFonts w:eastAsia="Arial" w:cs="Arial"/>
          <w:lang w:eastAsia="hi-IN" w:bidi="hi-IN"/>
        </w:rPr>
      </w:pPr>
      <w:r w:rsidRPr="002D06E6">
        <w:rPr>
          <w:rFonts w:eastAsia="Arial" w:cs="Arial"/>
          <w:lang w:eastAsia="hi-IN" w:bidi="hi-IN"/>
        </w:rPr>
        <w:t>Clips may not automatically be retained by police in addition to the core file once a case has concluded due to data storage costs. Where clips are not retained, the metadata of the shared file must be retained.</w:t>
      </w:r>
    </w:p>
    <w:p w:rsidR="002D06E6" w:rsidRPr="002D06E6" w:rsidRDefault="002D06E6" w:rsidP="002D06E6">
      <w:pPr>
        <w:widowControl w:val="0"/>
        <w:autoSpaceDE w:val="0"/>
        <w:autoSpaceDN w:val="0"/>
        <w:spacing w:after="200" w:line="276" w:lineRule="auto"/>
        <w:contextualSpacing/>
        <w:rPr>
          <w:rFonts w:eastAsia="Arial" w:cs="Arial"/>
          <w:lang w:eastAsia="hi-IN" w:bidi="hi-IN"/>
        </w:rPr>
        <w:sectPr w:rsidR="002D06E6" w:rsidRPr="002D06E6" w:rsidSect="00BF47AB">
          <w:pgSz w:w="11906" w:h="16838"/>
          <w:pgMar w:top="1843" w:right="794" w:bottom="2041" w:left="794" w:header="794" w:footer="227" w:gutter="0"/>
          <w:cols w:space="708"/>
          <w:titlePg/>
          <w:docGrid w:linePitch="360"/>
        </w:sectPr>
      </w:pPr>
    </w:p>
    <w:p w:rsidR="002D06E6" w:rsidRPr="002D06E6" w:rsidRDefault="002D06E6" w:rsidP="008A429D">
      <w:pPr>
        <w:pStyle w:val="Heading1"/>
      </w:pPr>
      <w:bookmarkStart w:id="14" w:name="_Toc185589617"/>
      <w:r w:rsidRPr="002D06E6">
        <w:rPr>
          <w:b w:val="0"/>
          <w:noProof/>
          <w:lang w:eastAsia="en-GB"/>
        </w:rPr>
        <w:drawing>
          <wp:anchor distT="0" distB="0" distL="114300" distR="114300" simplePos="0" relativeHeight="251668480" behindDoc="0" locked="0" layoutInCell="1" allowOverlap="1" wp14:anchorId="75E56A46" wp14:editId="0A417A09">
            <wp:simplePos x="0" y="0"/>
            <wp:positionH relativeFrom="column">
              <wp:posOffset>5348991</wp:posOffset>
            </wp:positionH>
            <wp:positionV relativeFrom="paragraph">
              <wp:posOffset>440690</wp:posOffset>
            </wp:positionV>
            <wp:extent cx="1019155" cy="1270635"/>
            <wp:effectExtent l="0" t="0" r="0" b="5715"/>
            <wp:wrapNone/>
            <wp:docPr id="1618068513" name="Picture 161806851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19155" cy="12706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D06E6">
        <w:rPr>
          <w:b w:val="0"/>
          <w:noProof/>
          <w:lang w:eastAsia="en-GB"/>
        </w:rPr>
        <w:drawing>
          <wp:anchor distT="0" distB="0" distL="114300" distR="114300" simplePos="0" relativeHeight="251660288" behindDoc="0" locked="0" layoutInCell="1" allowOverlap="1" wp14:anchorId="44BB99AB" wp14:editId="6C03164D">
            <wp:simplePos x="0" y="0"/>
            <wp:positionH relativeFrom="column">
              <wp:posOffset>-196215</wp:posOffset>
            </wp:positionH>
            <wp:positionV relativeFrom="paragraph">
              <wp:posOffset>392430</wp:posOffset>
            </wp:positionV>
            <wp:extent cx="916940" cy="1175385"/>
            <wp:effectExtent l="0" t="0" r="0" b="5715"/>
            <wp:wrapNone/>
            <wp:docPr id="23" name="Picture 2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picture containing logo&#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916940" cy="1175385"/>
                    </a:xfrm>
                    <a:prstGeom prst="rect">
                      <a:avLst/>
                    </a:prstGeom>
                  </pic:spPr>
                </pic:pic>
              </a:graphicData>
            </a:graphic>
            <wp14:sizeRelH relativeFrom="page">
              <wp14:pctWidth>0</wp14:pctWidth>
            </wp14:sizeRelH>
            <wp14:sizeRelV relativeFrom="page">
              <wp14:pctHeight>0</wp14:pctHeight>
            </wp14:sizeRelV>
          </wp:anchor>
        </w:drawing>
      </w:r>
      <w:r w:rsidRPr="002D06E6">
        <w:rPr>
          <w:b w:val="0"/>
          <w:noProof/>
          <w:lang w:eastAsia="en-GB"/>
        </w:rPr>
        <mc:AlternateContent>
          <mc:Choice Requires="wps">
            <w:drawing>
              <wp:anchor distT="0" distB="0" distL="114300" distR="114300" simplePos="0" relativeHeight="251659264" behindDoc="1" locked="0" layoutInCell="1" allowOverlap="1" wp14:anchorId="4D7B785D" wp14:editId="14C5734F">
                <wp:simplePos x="0" y="0"/>
                <wp:positionH relativeFrom="page">
                  <wp:posOffset>-2540</wp:posOffset>
                </wp:positionH>
                <wp:positionV relativeFrom="paragraph">
                  <wp:posOffset>306070</wp:posOffset>
                </wp:positionV>
                <wp:extent cx="7560310" cy="1552575"/>
                <wp:effectExtent l="0" t="0" r="2540" b="9525"/>
                <wp:wrapNone/>
                <wp:docPr id="299" name="Freeform: 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552575"/>
                        </a:xfrm>
                        <a:custGeom>
                          <a:avLst/>
                          <a:gdLst>
                            <a:gd name="T0" fmla="*/ 0 w 11906"/>
                            <a:gd name="T1" fmla="*/ 3021 h 3021"/>
                            <a:gd name="T2" fmla="*/ 11906 w 11906"/>
                            <a:gd name="T3" fmla="*/ 3021 h 3021"/>
                            <a:gd name="T4" fmla="*/ 11906 w 11906"/>
                            <a:gd name="T5" fmla="*/ 0 h 3021"/>
                            <a:gd name="T6" fmla="*/ 0 w 11906"/>
                            <a:gd name="T7" fmla="*/ 0 h 3021"/>
                            <a:gd name="T8" fmla="*/ 0 w 11906"/>
                            <a:gd name="T9" fmla="*/ 3021 h 3021"/>
                          </a:gdLst>
                          <a:ahLst/>
                          <a:cxnLst>
                            <a:cxn ang="0">
                              <a:pos x="T0" y="T1"/>
                            </a:cxn>
                            <a:cxn ang="0">
                              <a:pos x="T2" y="T3"/>
                            </a:cxn>
                            <a:cxn ang="0">
                              <a:pos x="T4" y="T5"/>
                            </a:cxn>
                            <a:cxn ang="0">
                              <a:pos x="T6" y="T7"/>
                            </a:cxn>
                            <a:cxn ang="0">
                              <a:pos x="T8" y="T9"/>
                            </a:cxn>
                          </a:cxnLst>
                          <a:rect l="0" t="0" r="r" b="b"/>
                          <a:pathLst>
                            <a:path w="11906" h="3021">
                              <a:moveTo>
                                <a:pt x="0" y="3021"/>
                              </a:moveTo>
                              <a:lnTo>
                                <a:pt x="11906" y="3021"/>
                              </a:lnTo>
                              <a:lnTo>
                                <a:pt x="11906" y="0"/>
                              </a:lnTo>
                              <a:lnTo>
                                <a:pt x="0" y="0"/>
                              </a:lnTo>
                              <a:lnTo>
                                <a:pt x="0" y="3021"/>
                              </a:lnTo>
                            </a:path>
                          </a:pathLst>
                        </a:custGeom>
                        <a:solidFill>
                          <a:srgbClr val="005DAA"/>
                        </a:solidFill>
                        <a:ln>
                          <a:noFill/>
                        </a:ln>
                      </wps:spPr>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07AB292C" id="Freeform: Shape 299" o:spid="_x0000_s1026" style="position:absolute;margin-left:-.2pt;margin-top:24.1pt;width:595.3pt;height:122.25pt;z-index:-2516572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coordsize="11906,3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" path="m,3021r11906,l11906,,,,,3021e" fillcolor="#005daa" stroked="f">
                <v:path arrowok="t" o:connecttype="custom" o:connectlocs="0,1552575;7560310,1552575;7560310,0;0,0;0,1552575" o:connectangles="0,0,0,0,0"/>
                <w10:wrap anchorx="page"/>
              </v:shape>
            </w:pict>
          </mc:Fallback>
        </mc:AlternateContent>
      </w:r>
      <w:r w:rsidRPr="002D06E6">
        <w:t>Annex 3: Photographic Principles*</w:t>
      </w:r>
      <w:r w:rsidRPr="002D06E6">
        <w:endnoteReference w:id="1"/>
      </w:r>
      <w:bookmarkEnd w:id="14"/>
    </w:p>
    <w:p w:rsidR="002D06E6" w:rsidRPr="002D06E6" w:rsidRDefault="002D06E6" w:rsidP="002D06E6">
      <w:pPr>
        <w:spacing w:after="160" w:line="259" w:lineRule="auto"/>
        <w:rPr>
          <w:rFonts w:ascii="Calibri" w:eastAsia="Calibri" w:hAnsi="Calibri"/>
          <w:sz w:val="24"/>
          <w:szCs w:val="24"/>
        </w:rPr>
      </w:pPr>
      <w:r w:rsidRPr="002D06E6">
        <w:rPr>
          <w:rFonts w:ascii="Calibri" w:eastAsia="Calibri" w:hAnsi="Calibri"/>
          <w:noProof/>
          <w:sz w:val="24"/>
          <w:szCs w:val="24"/>
          <w:lang w:eastAsia="en-GB"/>
        </w:rPr>
        <mc:AlternateContent>
          <mc:Choice Requires="wps">
            <w:drawing>
              <wp:anchor distT="45720" distB="45720" distL="114300" distR="114300" simplePos="0" relativeHeight="251667456" behindDoc="0" locked="0" layoutInCell="1" allowOverlap="1" wp14:anchorId="738713A6" wp14:editId="2009CD5B">
                <wp:simplePos x="0" y="0"/>
                <wp:positionH relativeFrom="page">
                  <wp:posOffset>1882140</wp:posOffset>
                </wp:positionH>
                <wp:positionV relativeFrom="paragraph">
                  <wp:posOffset>137795</wp:posOffset>
                </wp:positionV>
                <wp:extent cx="3795395" cy="1404620"/>
                <wp:effectExtent l="0" t="0" r="0" b="6350"/>
                <wp:wrapSquare wrapText="bothSides"/>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5395" cy="1404620"/>
                        </a:xfrm>
                        <a:prstGeom prst="rect">
                          <a:avLst/>
                        </a:prstGeom>
                        <a:noFill/>
                        <a:ln w="9525">
                          <a:noFill/>
                          <a:miter lim="800000"/>
                          <a:headEnd/>
                          <a:tailEnd/>
                        </a:ln>
                      </wps:spPr>
                      <wps:txbx>
                        <w:txbxContent>
                          <w:p w:rsidR="00A82EAC" w:rsidRPr="002D06E6" w:rsidRDefault="00A82EAC" w:rsidP="002D06E6">
                            <w:pPr>
                              <w:jc w:val="center"/>
                              <w:rPr>
                                <w:b/>
                                <w:color w:val="FFFFFF"/>
                                <w:sz w:val="36"/>
                                <w:szCs w:val="32"/>
                              </w:rPr>
                            </w:pPr>
                            <w:r w:rsidRPr="002D06E6">
                              <w:rPr>
                                <w:b/>
                                <w:color w:val="FFFFFF"/>
                                <w:sz w:val="36"/>
                                <w:szCs w:val="32"/>
                              </w:rPr>
                              <w:t>Sharing Principles for</w:t>
                            </w:r>
                          </w:p>
                          <w:p w:rsidR="00A82EAC" w:rsidRDefault="00A82EAC" w:rsidP="002D06E6">
                            <w:pPr>
                              <w:jc w:val="center"/>
                            </w:pPr>
                            <w:r w:rsidRPr="002D06E6">
                              <w:rPr>
                                <w:b/>
                                <w:color w:val="FFFFFF"/>
                                <w:sz w:val="36"/>
                                <w:szCs w:val="32"/>
                              </w:rPr>
                              <w:t>Photographic &amp; Still Images</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 w14:anchorId="738713A6" id="Text Box 300" o:spid="_x0000_s1027" type="#_x0000_t202" style="position:absolute;margin-left:148.2pt;margin-top:10.85pt;width:298.85pt;height:110.6pt;z-index:25166745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" filled="f" stroked="f">
                <v:textbox style="mso-fit-shape-to-text:t">
                  <w:txbxContent>
                    <w:p w:rsidR="00A82EAC" w:rsidRPr="002D06E6" w:rsidRDefault="00A82EAC" w:rsidP="002D06E6">
                      <w:pPr>
                        <w:jc w:val="center"/>
                        <w:rPr>
                          <w:b/>
                          <w:color w:val="FFFFFF"/>
                          <w:sz w:val="36"/>
                          <w:szCs w:val="32"/>
                        </w:rPr>
                      </w:pPr>
                      <w:r w:rsidRPr="002D06E6">
                        <w:rPr>
                          <w:b/>
                          <w:color w:val="FFFFFF"/>
                          <w:sz w:val="36"/>
                          <w:szCs w:val="32"/>
                        </w:rPr>
                        <w:t>Sharing Principles for</w:t>
                      </w:r>
                    </w:p>
                    <w:p w:rsidR="00A82EAC" w:rsidRDefault="00A82EAC" w:rsidP="002D06E6">
                      <w:pPr>
                        <w:jc w:val="center"/>
                      </w:pPr>
                      <w:r w:rsidRPr="002D06E6">
                        <w:rPr>
                          <w:b/>
                          <w:color w:val="FFFFFF"/>
                          <w:sz w:val="36"/>
                          <w:szCs w:val="32"/>
                        </w:rPr>
                        <w:t>Photographic &amp; Still Images</w:t>
                      </w:r>
                    </w:p>
                  </w:txbxContent>
                </v:textbox>
                <w10:wrap type="square" anchorx="page"/>
              </v:shape>
            </w:pict>
          </mc:Fallback>
        </mc:AlternateContent>
      </w:r>
    </w:p>
    <w:p w:rsidR="002D06E6" w:rsidRPr="002D06E6" w:rsidRDefault="002D06E6" w:rsidP="002D06E6">
      <w:pPr>
        <w:spacing w:after="160" w:line="259" w:lineRule="auto"/>
        <w:rPr>
          <w:rFonts w:ascii="Calibri" w:eastAsia="Calibri" w:hAnsi="Calibri"/>
          <w:sz w:val="24"/>
          <w:szCs w:val="24"/>
        </w:rPr>
      </w:pPr>
    </w:p>
    <w:p w:rsidR="002D06E6" w:rsidRPr="002D06E6" w:rsidRDefault="002D06E6" w:rsidP="002D06E6">
      <w:pPr>
        <w:spacing w:after="160" w:line="259" w:lineRule="auto"/>
        <w:rPr>
          <w:rFonts w:ascii="Calibri" w:eastAsia="Calibri" w:hAnsi="Calibri"/>
          <w:sz w:val="24"/>
          <w:szCs w:val="24"/>
        </w:rPr>
      </w:pPr>
    </w:p>
    <w:p w:rsidR="002D06E6" w:rsidRPr="002D06E6" w:rsidRDefault="002D06E6" w:rsidP="002D06E6">
      <w:pPr>
        <w:spacing w:after="160" w:line="259" w:lineRule="auto"/>
        <w:rPr>
          <w:rFonts w:ascii="Calibri" w:eastAsia="Calibri" w:hAnsi="Calibri"/>
          <w:sz w:val="24"/>
          <w:szCs w:val="24"/>
        </w:rPr>
      </w:pPr>
      <w:r w:rsidRPr="002D06E6">
        <w:rPr>
          <w:rFonts w:ascii="Calibri" w:eastAsia="Calibri" w:hAnsi="Calibri"/>
          <w:b/>
          <w:noProof/>
          <w:color w:val="FFFFFF"/>
          <w:sz w:val="32"/>
          <w:szCs w:val="32"/>
          <w:lang w:eastAsia="en-GB"/>
        </w:rPr>
        <w:drawing>
          <wp:anchor distT="0" distB="0" distL="114300" distR="114300" simplePos="0" relativeHeight="251666432" behindDoc="0" locked="0" layoutInCell="1" allowOverlap="1" wp14:anchorId="3317CDE3" wp14:editId="6D2EF3BC">
            <wp:simplePos x="0" y="0"/>
            <wp:positionH relativeFrom="column">
              <wp:posOffset>-252730</wp:posOffset>
            </wp:positionH>
            <wp:positionV relativeFrom="paragraph">
              <wp:posOffset>269240</wp:posOffset>
            </wp:positionV>
            <wp:extent cx="1031875" cy="20129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s banner.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31875" cy="201295"/>
                    </a:xfrm>
                    <a:prstGeom prst="rect">
                      <a:avLst/>
                    </a:prstGeom>
                  </pic:spPr>
                </pic:pic>
              </a:graphicData>
            </a:graphic>
            <wp14:sizeRelH relativeFrom="page">
              <wp14:pctWidth>0</wp14:pctWidth>
            </wp14:sizeRelH>
            <wp14:sizeRelV relativeFrom="page">
              <wp14:pctHeight>0</wp14:pctHeight>
            </wp14:sizeRelV>
          </wp:anchor>
        </w:drawing>
      </w:r>
    </w:p>
    <w:p w:rsidR="002D06E6" w:rsidRPr="002D06E6" w:rsidRDefault="002D06E6" w:rsidP="002D06E6">
      <w:pPr>
        <w:spacing w:after="160" w:line="259" w:lineRule="auto"/>
        <w:rPr>
          <w:rFonts w:ascii="Calibri" w:eastAsia="Calibri" w:hAnsi="Calibri"/>
          <w:sz w:val="24"/>
          <w:szCs w:val="24"/>
        </w:rPr>
      </w:pPr>
      <w:r w:rsidRPr="002D06E6">
        <w:rPr>
          <w:rFonts w:ascii="Calibri" w:eastAsia="Calibri" w:hAnsi="Calibri"/>
          <w:sz w:val="24"/>
          <w:szCs w:val="24"/>
        </w:rPr>
        <w:t xml:space="preserve"> </w:t>
      </w:r>
    </w:p>
    <w:p w:rsidR="00401956" w:rsidRDefault="00401956" w:rsidP="002D06E6">
      <w:pPr>
        <w:widowControl w:val="0"/>
        <w:autoSpaceDE w:val="0"/>
        <w:autoSpaceDN w:val="0"/>
        <w:rPr>
          <w:rFonts w:cs="Mangal"/>
          <w:b/>
          <w:bCs/>
          <w:color w:val="005DAA"/>
          <w:kern w:val="32"/>
          <w:sz w:val="32"/>
          <w:szCs w:val="29"/>
          <w:lang w:eastAsia="hi-IN" w:bidi="hi-IN"/>
        </w:rPr>
      </w:pPr>
    </w:p>
    <w:p w:rsidR="002D06E6" w:rsidRPr="002D06E6" w:rsidRDefault="002D06E6" w:rsidP="002D06E6">
      <w:pPr>
        <w:widowControl w:val="0"/>
        <w:autoSpaceDE w:val="0"/>
        <w:autoSpaceDN w:val="0"/>
        <w:rPr>
          <w:rFonts w:cs="Mangal"/>
          <w:b/>
          <w:bCs/>
          <w:color w:val="005DAA"/>
          <w:kern w:val="32"/>
          <w:sz w:val="32"/>
          <w:szCs w:val="29"/>
          <w:lang w:eastAsia="hi-IN" w:bidi="hi-IN"/>
        </w:rPr>
      </w:pPr>
      <w:r w:rsidRPr="002D06E6">
        <w:rPr>
          <w:rFonts w:cs="Mangal"/>
          <w:b/>
          <w:bCs/>
          <w:color w:val="005DAA"/>
          <w:kern w:val="32"/>
          <w:sz w:val="32"/>
          <w:szCs w:val="29"/>
          <w:lang w:eastAsia="hi-IN" w:bidi="hi-IN"/>
        </w:rPr>
        <w:t>Transfer of Photographs</w:t>
      </w:r>
    </w:p>
    <w:p w:rsidR="002D06E6" w:rsidRPr="002D06E6" w:rsidRDefault="002D06E6" w:rsidP="002D06E6">
      <w:pPr>
        <w:spacing w:after="160" w:line="259" w:lineRule="auto"/>
        <w:rPr>
          <w:rFonts w:ascii="Calibri" w:eastAsia="Calibri" w:hAnsi="Calibri"/>
          <w:sz w:val="24"/>
          <w:szCs w:val="24"/>
        </w:rPr>
      </w:pP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All principles need to be read and accepted before the photobook process can be implemented.</w:t>
      </w: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 xml:space="preserve">It is the OICs/disclosure officer responsibility to identify evidential and unused material. Whilst many images will be taken CPS only need to see those which contain evidence relevant to the case. </w:t>
      </w: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 xml:space="preserve">Relevant, unused photographs should be recorded on the unused material schedules. </w:t>
      </w: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Officers</w:t>
      </w:r>
      <w:r w:rsidRPr="002D06E6">
        <w:rPr>
          <w:rFonts w:ascii="Calibri" w:eastAsia="Calibri" w:hAnsi="Calibri"/>
          <w:sz w:val="24"/>
          <w:szCs w:val="24"/>
          <w:vertAlign w:val="superscript"/>
        </w:rPr>
        <w:footnoteReference w:id="8"/>
      </w:r>
      <w:r w:rsidRPr="002D06E6">
        <w:rPr>
          <w:rFonts w:ascii="Calibri" w:eastAsia="Calibri" w:hAnsi="Calibri"/>
          <w:sz w:val="24"/>
          <w:szCs w:val="24"/>
        </w:rPr>
        <w:t xml:space="preserve"> need to avoid sending the image in multiple views unless appropriate, for example, where a witness has viewed a zoomed in version of a photograph and commented on it.</w:t>
      </w: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 xml:space="preserve">Police supervisor must reflect that image selection has been considered with any over/non-selection of images within the photobook being rejected with the officer before submission to the CPS. </w:t>
      </w: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 xml:space="preserve">CPS Operational Delivery staff will not play a role in reviewing photographic and rejecting at triage.  </w:t>
      </w: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 xml:space="preserve">CPS Reviewing lawyers should not delay charging decisions based on an over/non- selection of images unless it poses a detrimental impact on the review. Where substantial over selection has been provided to CPS, feedback should be provided to the Police and a revised photobook requested. </w:t>
      </w: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Where a re-selection is not requested at review stage, is it possible that this may result in increased requests for a revised Jury selection should matters proceed to Crown Court trial.</w:t>
      </w: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 xml:space="preserve">It is permissible to send a small number of images via CJS exchange which is CPS’ preferred option. If the image is stored on DEMS and would cause additional work to send via the CJS exchange, then a single image can be sent as a URL via DEMS. Where more than one image needs to be shared via a URL with CPS it must be shared in a photobook. </w:t>
      </w: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 xml:space="preserve">Indecent Images of Children - CPS should not receive this material in any format. Images should be described in a schedule and categorised. If these need to be viewed, then arrangements should be made to view them on a police device. </w:t>
      </w: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 xml:space="preserve">Sexually Explicit and Graphic Images - This material can be held on CMS and can be sent by police in a photobook URL. However, this material cannot be put onto DCS, as HMCTS have made clear that sexually explicit images (nudity/legal pornographic) and Graphic images should not be uploaded. This is because the DCS has a wider audience than CMS. To be served / disclosure via Secure Email (not via CC DCS). </w:t>
      </w:r>
      <w:r w:rsidRPr="002D06E6">
        <w:rPr>
          <w:rFonts w:ascii="Calibri" w:eastAsia="Calibri" w:hAnsi="Calibri"/>
          <w:b/>
          <w:bCs/>
          <w:sz w:val="24"/>
          <w:szCs w:val="24"/>
        </w:rPr>
        <w:t>Prefix file name with ‘Explicit Image’ or</w:t>
      </w:r>
      <w:r w:rsidRPr="002D06E6">
        <w:rPr>
          <w:rFonts w:ascii="Calibri" w:eastAsia="Calibri" w:hAnsi="Calibri"/>
          <w:sz w:val="24"/>
          <w:szCs w:val="24"/>
        </w:rPr>
        <w:t xml:space="preserve"> </w:t>
      </w:r>
      <w:r w:rsidRPr="002D06E6">
        <w:rPr>
          <w:rFonts w:ascii="Calibri" w:eastAsia="Calibri" w:hAnsi="Calibri"/>
          <w:b/>
          <w:bCs/>
          <w:sz w:val="24"/>
          <w:szCs w:val="24"/>
        </w:rPr>
        <w:t>Prefix file name with ‘Graphic Image’.</w:t>
      </w:r>
    </w:p>
    <w:p w:rsidR="002D06E6" w:rsidRPr="002D06E6" w:rsidRDefault="002D06E6" w:rsidP="002D06E6">
      <w:pPr>
        <w:spacing w:after="160" w:line="259" w:lineRule="auto"/>
        <w:rPr>
          <w:rFonts w:ascii="Calibri" w:eastAsia="Calibri" w:hAnsi="Calibri"/>
          <w:sz w:val="24"/>
          <w:szCs w:val="24"/>
        </w:rPr>
      </w:pPr>
    </w:p>
    <w:p w:rsidR="002D06E6" w:rsidRPr="002D06E6" w:rsidRDefault="002D06E6" w:rsidP="002D06E6">
      <w:pPr>
        <w:widowControl w:val="0"/>
        <w:autoSpaceDE w:val="0"/>
        <w:autoSpaceDN w:val="0"/>
        <w:rPr>
          <w:rFonts w:cs="Mangal"/>
          <w:b/>
          <w:bCs/>
          <w:color w:val="005DAA"/>
          <w:kern w:val="32"/>
          <w:sz w:val="32"/>
          <w:szCs w:val="29"/>
          <w:lang w:eastAsia="hi-IN" w:bidi="hi-IN"/>
        </w:rPr>
      </w:pPr>
      <w:r w:rsidRPr="002D06E6">
        <w:rPr>
          <w:rFonts w:cs="Mangal"/>
          <w:b/>
          <w:bCs/>
          <w:color w:val="005DAA"/>
          <w:kern w:val="32"/>
          <w:sz w:val="32"/>
          <w:szCs w:val="29"/>
          <w:lang w:eastAsia="hi-IN" w:bidi="hi-IN"/>
        </w:rPr>
        <w:t xml:space="preserve">Evidential Photographic Material </w:t>
      </w:r>
    </w:p>
    <w:p w:rsidR="002D06E6" w:rsidRPr="002D06E6" w:rsidRDefault="002D06E6" w:rsidP="002D06E6">
      <w:pPr>
        <w:spacing w:after="160" w:line="259" w:lineRule="auto"/>
        <w:rPr>
          <w:rFonts w:ascii="Calibri" w:eastAsia="Calibri" w:hAnsi="Calibri"/>
          <w:sz w:val="24"/>
          <w:szCs w:val="24"/>
        </w:rPr>
      </w:pP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The URL for evidential photographic material should be shared via LM06 either within the message or MG0 and with the case material in an MG0 for non-CMS cases. (Holmes/large complex cases).</w:t>
      </w: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Volumes of evidential photographic material should be shared in a DEMs digital photobook.</w:t>
      </w: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 xml:space="preserve">Where photos contain personal sensitive data under DPA that are not relevant to the case, these elements should be redacted by the police before sharing. </w:t>
      </w: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 xml:space="preserve">Where only selected images are chosen for service on the defence or where the images require relabelling or reorientation, CPS will specify the revised images required and request submission of a new photobook. The whole of the original photobook becomes an item of unused material and the disclosure officer must be notified. </w:t>
      </w:r>
    </w:p>
    <w:p w:rsidR="00990E34"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A number of images from different exhibiting officers can be shared in a single photobook. There must be individual statements produced to exhibit them and the relevant exhibit reference must appear on each image. There is no requirement produce a further statement to exhibit the consolidated photobook. When sending to CMS via the LM06 message leave the exhibit reference field blank. The naming convention should be ‘consolidated photobook’ and description of what it contains. e.g. ‘consolidated photobook – scene of crime’.</w:t>
      </w:r>
    </w:p>
    <w:p w:rsidR="00990E34" w:rsidRDefault="00990E34">
      <w:pPr>
        <w:spacing w:after="200" w:line="276" w:lineRule="auto"/>
        <w:rPr>
          <w:rFonts w:ascii="Calibri" w:eastAsia="Calibri" w:hAnsi="Calibri"/>
          <w:sz w:val="24"/>
          <w:szCs w:val="24"/>
        </w:rPr>
      </w:pPr>
    </w:p>
    <w:p w:rsidR="00B71103" w:rsidRDefault="00B71103">
      <w:pPr>
        <w:spacing w:after="200" w:line="276" w:lineRule="auto"/>
        <w:rPr>
          <w:rFonts w:ascii="Calibri" w:eastAsia="Calibri" w:hAnsi="Calibri"/>
          <w:sz w:val="24"/>
          <w:szCs w:val="24"/>
        </w:rPr>
      </w:pPr>
    </w:p>
    <w:p w:rsidR="002D06E6" w:rsidRPr="002D06E6" w:rsidRDefault="002D06E6" w:rsidP="002D06E6">
      <w:pPr>
        <w:widowControl w:val="0"/>
        <w:autoSpaceDE w:val="0"/>
        <w:autoSpaceDN w:val="0"/>
        <w:rPr>
          <w:rFonts w:cs="Mangal"/>
          <w:b/>
          <w:bCs/>
          <w:color w:val="005DAA"/>
          <w:kern w:val="32"/>
          <w:sz w:val="32"/>
          <w:szCs w:val="29"/>
          <w:lang w:eastAsia="hi-IN" w:bidi="hi-IN"/>
        </w:rPr>
      </w:pPr>
      <w:r w:rsidRPr="002D06E6">
        <w:rPr>
          <w:rFonts w:cs="Mangal"/>
          <w:b/>
          <w:bCs/>
          <w:color w:val="005DAA"/>
          <w:kern w:val="32"/>
          <w:sz w:val="32"/>
          <w:szCs w:val="29"/>
          <w:lang w:eastAsia="hi-IN" w:bidi="hi-IN"/>
        </w:rPr>
        <w:t>Unused Photographic Material</w:t>
      </w:r>
    </w:p>
    <w:p w:rsidR="002D06E6" w:rsidRPr="00B71103" w:rsidRDefault="002D06E6" w:rsidP="002D06E6">
      <w:pPr>
        <w:spacing w:after="160" w:line="259" w:lineRule="auto"/>
        <w:rPr>
          <w:rFonts w:ascii="Calibri" w:eastAsia="Calibri" w:hAnsi="Calibri"/>
          <w:sz w:val="20"/>
          <w:szCs w:val="20"/>
        </w:rPr>
      </w:pP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Only unused material that meets the Disclosure Test should be shared in a DEMs Digital Photobook.</w:t>
      </w: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 xml:space="preserve">All unused material (does not meet the test for disclosure) should be listed in the unused schedule and not shared. </w:t>
      </w: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The MG6E should identify any photographs the disclosure officer believes either undermines the prosecution case or assists the defence. These photos should be shared in an individual photobook with the disclosure schedule number included in the description.</w:t>
      </w: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 xml:space="preserve">If disclosure decisions are different in relation to individual defendants in multi-handed cases, there should be separate photobooks per defendant.  </w:t>
      </w:r>
    </w:p>
    <w:p w:rsid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If additional photographs become disclosable after defence statements are received, an additional photobook should be provided.</w:t>
      </w:r>
    </w:p>
    <w:p w:rsidR="0087051A" w:rsidRPr="002D06E6" w:rsidRDefault="0087051A" w:rsidP="0087051A">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 xml:space="preserve">The URL for </w:t>
      </w:r>
      <w:r w:rsidRPr="00EA03AE">
        <w:rPr>
          <w:rFonts w:ascii="Calibri" w:eastAsia="Calibri" w:hAnsi="Calibri"/>
          <w:sz w:val="24"/>
          <w:szCs w:val="24"/>
        </w:rPr>
        <w:t>unused photographic material</w:t>
      </w:r>
      <w:r w:rsidRPr="002D06E6">
        <w:rPr>
          <w:rFonts w:ascii="Calibri" w:eastAsia="Calibri" w:hAnsi="Calibri"/>
          <w:sz w:val="24"/>
          <w:szCs w:val="24"/>
        </w:rPr>
        <w:t xml:space="preserve"> should be shared via LM07 either within the message or MG0 and with the case material on an MG0 document for non-CMS cases.</w:t>
      </w: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There may be occasions in more serious and complex cases where the reviewing lawyer/prosecution barrister wishes to review unused photographs that the officer thinks does not meet the test for disclosure. If this is the case, it is permissible to share these as a bulk photobook consisting of multiple images from multiple exhibits. The OIC should ensure the prosecutor will be able to cross reference the individual photographs back to the unused schedule. If this is not possible, they will need to be shared as separate photobooks. The prosecutor should provide the justification for the need to view the entirety of the images with the request.</w:t>
      </w:r>
    </w:p>
    <w:p w:rsidR="002D06E6" w:rsidRPr="00B71103" w:rsidRDefault="002D06E6" w:rsidP="002D06E6">
      <w:pPr>
        <w:spacing w:after="160" w:line="259" w:lineRule="auto"/>
        <w:rPr>
          <w:rFonts w:ascii="Calibri" w:eastAsia="Calibri" w:hAnsi="Calibri"/>
          <w:sz w:val="20"/>
          <w:szCs w:val="20"/>
        </w:rPr>
      </w:pPr>
    </w:p>
    <w:p w:rsidR="002D06E6" w:rsidRPr="002D06E6" w:rsidRDefault="002D06E6" w:rsidP="002D06E6">
      <w:pPr>
        <w:widowControl w:val="0"/>
        <w:autoSpaceDE w:val="0"/>
        <w:autoSpaceDN w:val="0"/>
        <w:rPr>
          <w:rFonts w:cs="Mangal"/>
          <w:b/>
          <w:bCs/>
          <w:color w:val="005DAA"/>
          <w:kern w:val="32"/>
          <w:sz w:val="32"/>
          <w:szCs w:val="29"/>
          <w:lang w:eastAsia="hi-IN" w:bidi="hi-IN"/>
        </w:rPr>
      </w:pPr>
      <w:r w:rsidRPr="002D06E6">
        <w:rPr>
          <w:rFonts w:cs="Mangal"/>
          <w:b/>
          <w:bCs/>
          <w:color w:val="005DAA"/>
          <w:kern w:val="32"/>
          <w:sz w:val="32"/>
          <w:szCs w:val="29"/>
          <w:lang w:eastAsia="hi-IN" w:bidi="hi-IN"/>
        </w:rPr>
        <w:t>Jury Presentation</w:t>
      </w:r>
    </w:p>
    <w:p w:rsidR="002D06E6" w:rsidRPr="00B71103" w:rsidRDefault="002D06E6" w:rsidP="002D06E6">
      <w:pPr>
        <w:spacing w:after="160" w:line="259" w:lineRule="auto"/>
        <w:rPr>
          <w:rFonts w:ascii="Calibri" w:eastAsia="Calibri" w:hAnsi="Calibri"/>
          <w:sz w:val="20"/>
          <w:szCs w:val="20"/>
        </w:rPr>
      </w:pP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Discussion can be held between CPS and Police on a case by case basis to agree on photographic jury bundles to assist court presentation. As CPS do not have case access to force DEMs the only people that can complete this task are the police.</w:t>
      </w: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 xml:space="preserve">Where individual photographic exhibits have been served there may be a need to brigade these images into a single photobook for jury presentation. There will be no need to further exhibit this presentational photobook, as the images will have been exhibited already in their own right. </w:t>
      </w:r>
    </w:p>
    <w:p w:rsidR="002D06E6" w:rsidRPr="002D06E6" w:rsidRDefault="002D06E6" w:rsidP="002D06E6">
      <w:pPr>
        <w:spacing w:after="160" w:line="259" w:lineRule="auto"/>
        <w:rPr>
          <w:rFonts w:ascii="Calibri" w:eastAsia="Calibri" w:hAnsi="Calibri"/>
          <w:sz w:val="24"/>
          <w:szCs w:val="24"/>
        </w:rPr>
      </w:pPr>
    </w:p>
    <w:p w:rsidR="002D06E6" w:rsidRPr="002D06E6" w:rsidRDefault="002D06E6" w:rsidP="002D06E6">
      <w:pPr>
        <w:numPr>
          <w:ilvl w:val="0"/>
          <w:numId w:val="12"/>
        </w:numPr>
        <w:spacing w:after="160" w:line="259" w:lineRule="auto"/>
        <w:rPr>
          <w:rFonts w:ascii="Calibri" w:eastAsia="Calibri" w:hAnsi="Calibri"/>
          <w:sz w:val="24"/>
          <w:szCs w:val="24"/>
        </w:rPr>
      </w:pPr>
      <w:r w:rsidRPr="002D06E6">
        <w:rPr>
          <w:rFonts w:ascii="Calibri" w:eastAsia="Calibri" w:hAnsi="Calibri"/>
          <w:sz w:val="24"/>
          <w:szCs w:val="24"/>
        </w:rPr>
        <w:t>The CPS will be unable to amend or redact the PDF booklet so there maybe exceptional circumstances where a revised booklet may be required on the day of court. This may be due to legal arguments or exceptional circumstances where the content of the photobook cannot be presented to the jury and a new photobook is required.</w:t>
      </w:r>
    </w:p>
    <w:p w:rsidR="002D06E6" w:rsidRPr="00B71103" w:rsidRDefault="002D06E6" w:rsidP="002D06E6">
      <w:pPr>
        <w:spacing w:after="160" w:line="259" w:lineRule="auto"/>
        <w:rPr>
          <w:rFonts w:ascii="Calibri" w:eastAsia="Calibri" w:hAnsi="Calibri"/>
          <w:sz w:val="20"/>
          <w:szCs w:val="20"/>
        </w:rPr>
      </w:pPr>
    </w:p>
    <w:p w:rsidR="002D06E6" w:rsidRPr="002D06E6" w:rsidRDefault="002D06E6" w:rsidP="002D06E6">
      <w:pPr>
        <w:widowControl w:val="0"/>
        <w:autoSpaceDE w:val="0"/>
        <w:autoSpaceDN w:val="0"/>
        <w:rPr>
          <w:rFonts w:cs="Mangal"/>
          <w:b/>
          <w:bCs/>
          <w:color w:val="005DAA"/>
          <w:kern w:val="32"/>
          <w:sz w:val="32"/>
          <w:szCs w:val="29"/>
          <w:lang w:eastAsia="hi-IN" w:bidi="hi-IN"/>
        </w:rPr>
      </w:pPr>
      <w:r w:rsidRPr="002D06E6">
        <w:rPr>
          <w:rFonts w:cs="Mangal"/>
          <w:b/>
          <w:bCs/>
          <w:color w:val="005DAA"/>
          <w:kern w:val="32"/>
          <w:sz w:val="32"/>
          <w:szCs w:val="29"/>
          <w:lang w:eastAsia="hi-IN" w:bidi="hi-IN"/>
        </w:rPr>
        <w:t xml:space="preserve">Photobook Content </w:t>
      </w:r>
    </w:p>
    <w:p w:rsidR="002D06E6" w:rsidRPr="00B71103" w:rsidRDefault="002D06E6" w:rsidP="002D06E6">
      <w:pPr>
        <w:spacing w:after="160" w:line="259" w:lineRule="auto"/>
        <w:rPr>
          <w:rFonts w:ascii="Calibri" w:eastAsia="Calibri" w:hAnsi="Calibri"/>
          <w:sz w:val="20"/>
          <w:szCs w:val="20"/>
        </w:rPr>
      </w:pPr>
    </w:p>
    <w:p w:rsidR="002D06E6" w:rsidRPr="002D06E6" w:rsidRDefault="002D06E6" w:rsidP="002D06E6">
      <w:pPr>
        <w:numPr>
          <w:ilvl w:val="0"/>
          <w:numId w:val="13"/>
        </w:numPr>
        <w:spacing w:after="160" w:line="252" w:lineRule="auto"/>
        <w:ind w:left="714" w:hanging="357"/>
        <w:rPr>
          <w:rFonts w:ascii="Calibri" w:eastAsia="Calibri" w:hAnsi="Calibri"/>
          <w:sz w:val="24"/>
          <w:szCs w:val="24"/>
          <w:lang w:bidi="en-GB"/>
        </w:rPr>
      </w:pPr>
      <w:r w:rsidRPr="002D06E6">
        <w:rPr>
          <w:rFonts w:ascii="Calibri" w:eastAsia="Calibri" w:hAnsi="Calibri"/>
          <w:sz w:val="24"/>
          <w:szCs w:val="24"/>
          <w:lang w:bidi="en-GB"/>
        </w:rPr>
        <w:t xml:space="preserve">The index of the photobook will show the page number, exhibit reference and exhibit description. </w:t>
      </w:r>
    </w:p>
    <w:p w:rsidR="002D06E6" w:rsidRPr="002D06E6" w:rsidRDefault="002D06E6" w:rsidP="002D06E6">
      <w:pPr>
        <w:numPr>
          <w:ilvl w:val="0"/>
          <w:numId w:val="13"/>
        </w:numPr>
        <w:spacing w:after="160" w:line="252" w:lineRule="auto"/>
        <w:ind w:left="714" w:hanging="357"/>
        <w:rPr>
          <w:rFonts w:ascii="Calibri" w:eastAsia="Calibri" w:hAnsi="Calibri"/>
          <w:sz w:val="24"/>
          <w:szCs w:val="24"/>
          <w:lang w:bidi="en-GB"/>
        </w:rPr>
      </w:pPr>
      <w:r w:rsidRPr="002D06E6">
        <w:rPr>
          <w:rFonts w:ascii="Calibri" w:eastAsia="Calibri" w:hAnsi="Calibri"/>
          <w:sz w:val="24"/>
          <w:szCs w:val="24"/>
          <w:lang w:bidi="en-GB"/>
        </w:rPr>
        <w:t>Officers need to ensure individual photographs are in the correct orientation prior to submission.</w:t>
      </w:r>
    </w:p>
    <w:p w:rsidR="002D06E6" w:rsidRPr="00B71103" w:rsidRDefault="002D06E6" w:rsidP="002D06E6">
      <w:pPr>
        <w:spacing w:after="160" w:line="259" w:lineRule="auto"/>
        <w:rPr>
          <w:rFonts w:ascii="Calibri" w:eastAsia="Calibri" w:hAnsi="Calibri"/>
          <w:sz w:val="20"/>
          <w:szCs w:val="20"/>
        </w:rPr>
      </w:pPr>
    </w:p>
    <w:p w:rsidR="002D06E6" w:rsidRPr="002D06E6" w:rsidRDefault="002D06E6" w:rsidP="002D06E6">
      <w:pPr>
        <w:widowControl w:val="0"/>
        <w:autoSpaceDE w:val="0"/>
        <w:autoSpaceDN w:val="0"/>
        <w:rPr>
          <w:rFonts w:cs="Mangal"/>
          <w:b/>
          <w:bCs/>
          <w:color w:val="005DAA"/>
          <w:kern w:val="32"/>
          <w:sz w:val="32"/>
          <w:szCs w:val="29"/>
          <w:lang w:eastAsia="hi-IN" w:bidi="hi-IN"/>
        </w:rPr>
      </w:pPr>
      <w:r w:rsidRPr="002D06E6">
        <w:rPr>
          <w:rFonts w:cs="Mangal"/>
          <w:b/>
          <w:bCs/>
          <w:color w:val="005DAA"/>
          <w:kern w:val="32"/>
          <w:sz w:val="32"/>
          <w:szCs w:val="29"/>
          <w:lang w:eastAsia="hi-IN" w:bidi="hi-IN"/>
        </w:rPr>
        <w:t>Naming Convention</w:t>
      </w:r>
    </w:p>
    <w:p w:rsidR="002D06E6" w:rsidRPr="00B71103" w:rsidRDefault="002D06E6" w:rsidP="002D06E6">
      <w:pPr>
        <w:spacing w:after="160" w:line="259" w:lineRule="auto"/>
        <w:rPr>
          <w:rFonts w:ascii="Calibri" w:eastAsia="Calibri" w:hAnsi="Calibri"/>
          <w:sz w:val="20"/>
          <w:szCs w:val="20"/>
        </w:rPr>
      </w:pPr>
    </w:p>
    <w:p w:rsidR="002D06E6" w:rsidRPr="002D06E6" w:rsidRDefault="002D06E6" w:rsidP="002D06E6">
      <w:pPr>
        <w:numPr>
          <w:ilvl w:val="0"/>
          <w:numId w:val="14"/>
        </w:numPr>
        <w:spacing w:after="160" w:line="259" w:lineRule="auto"/>
        <w:rPr>
          <w:rFonts w:ascii="Calibri" w:eastAsia="Calibri" w:hAnsi="Calibri"/>
          <w:sz w:val="24"/>
          <w:szCs w:val="24"/>
          <w:lang w:bidi="en-GB"/>
        </w:rPr>
      </w:pPr>
      <w:r w:rsidRPr="002D06E6">
        <w:rPr>
          <w:rFonts w:ascii="Calibri" w:eastAsia="Calibri" w:hAnsi="Calibri"/>
          <w:sz w:val="24"/>
          <w:szCs w:val="24"/>
          <w:lang w:bidi="en-GB"/>
        </w:rPr>
        <w:t>Naming and labelling conventions - The following should be applied in accordance with the National Naming Convention protocol.</w:t>
      </w:r>
    </w:p>
    <w:p w:rsidR="002D06E6" w:rsidRPr="002D06E6" w:rsidRDefault="002D06E6" w:rsidP="002D06E6">
      <w:pPr>
        <w:numPr>
          <w:ilvl w:val="0"/>
          <w:numId w:val="14"/>
        </w:numPr>
        <w:spacing w:after="160" w:line="259" w:lineRule="auto"/>
        <w:rPr>
          <w:rFonts w:ascii="Calibri" w:eastAsia="Calibri" w:hAnsi="Calibri"/>
          <w:sz w:val="24"/>
          <w:szCs w:val="24"/>
          <w:lang w:bidi="en-GB"/>
        </w:rPr>
      </w:pPr>
      <w:r w:rsidRPr="002D06E6">
        <w:rPr>
          <w:rFonts w:ascii="Calibri" w:eastAsia="Calibri" w:hAnsi="Calibri"/>
          <w:sz w:val="24"/>
          <w:szCs w:val="24"/>
          <w:lang w:bidi="en-GB"/>
        </w:rPr>
        <w:t>Each still image should be labelled with the description and exhibit reference.</w:t>
      </w:r>
    </w:p>
    <w:p w:rsidR="002D06E6" w:rsidRPr="002D06E6" w:rsidRDefault="002D06E6" w:rsidP="002D06E6">
      <w:pPr>
        <w:numPr>
          <w:ilvl w:val="0"/>
          <w:numId w:val="14"/>
        </w:numPr>
        <w:spacing w:after="160" w:line="259" w:lineRule="auto"/>
        <w:rPr>
          <w:rFonts w:ascii="Calibri" w:eastAsia="Calibri" w:hAnsi="Calibri"/>
          <w:sz w:val="24"/>
          <w:szCs w:val="24"/>
          <w:lang w:bidi="en-GB"/>
        </w:rPr>
      </w:pPr>
      <w:r w:rsidRPr="002D06E6">
        <w:rPr>
          <w:rFonts w:ascii="Calibri" w:eastAsia="Calibri" w:hAnsi="Calibri"/>
          <w:sz w:val="24"/>
          <w:szCs w:val="24"/>
          <w:lang w:bidi="en-GB"/>
        </w:rPr>
        <w:t xml:space="preserve">MG0 (used material) - For consistency, the same MG0 form should be used for NICE Photobooks as for other multimedia. The MG0 should contain the following information: </w:t>
      </w:r>
    </w:p>
    <w:p w:rsidR="002D06E6" w:rsidRPr="002D06E6" w:rsidRDefault="002D06E6" w:rsidP="002D06E6">
      <w:pPr>
        <w:numPr>
          <w:ilvl w:val="1"/>
          <w:numId w:val="15"/>
        </w:numPr>
        <w:spacing w:after="160" w:line="259" w:lineRule="auto"/>
        <w:rPr>
          <w:rFonts w:ascii="Calibri" w:eastAsia="Calibri" w:hAnsi="Calibri"/>
          <w:sz w:val="24"/>
          <w:szCs w:val="24"/>
          <w:lang w:bidi="en-GB"/>
        </w:rPr>
      </w:pPr>
      <w:r w:rsidRPr="002D06E6">
        <w:rPr>
          <w:rFonts w:ascii="Calibri" w:eastAsia="Calibri" w:hAnsi="Calibri"/>
          <w:sz w:val="24"/>
          <w:szCs w:val="24"/>
          <w:lang w:bidi="en-GB"/>
        </w:rPr>
        <w:t>Type of Media: The term “Image” should be used</w:t>
      </w:r>
    </w:p>
    <w:p w:rsidR="002D06E6" w:rsidRPr="002D06E6" w:rsidRDefault="002D06E6" w:rsidP="002D06E6">
      <w:pPr>
        <w:numPr>
          <w:ilvl w:val="1"/>
          <w:numId w:val="15"/>
        </w:numPr>
        <w:spacing w:after="160" w:line="259" w:lineRule="auto"/>
        <w:rPr>
          <w:rFonts w:ascii="Calibri" w:eastAsia="Calibri" w:hAnsi="Calibri"/>
          <w:sz w:val="24"/>
          <w:szCs w:val="24"/>
          <w:lang w:bidi="en-GB"/>
        </w:rPr>
      </w:pPr>
      <w:r w:rsidRPr="002D06E6">
        <w:rPr>
          <w:rFonts w:ascii="Calibri" w:eastAsia="Calibri" w:hAnsi="Calibri"/>
          <w:sz w:val="24"/>
          <w:szCs w:val="24"/>
          <w:lang w:bidi="en-GB"/>
        </w:rPr>
        <w:t>Exhibit Reference and Description should follow standard naming convention and be described as ‘Photobook’, e.g. DMD/1 – Photobook of victim injuries</w:t>
      </w:r>
    </w:p>
    <w:p w:rsidR="002D06E6" w:rsidRPr="002D06E6" w:rsidRDefault="002D06E6" w:rsidP="002D06E6">
      <w:pPr>
        <w:numPr>
          <w:ilvl w:val="1"/>
          <w:numId w:val="15"/>
        </w:numPr>
        <w:spacing w:after="160" w:line="259" w:lineRule="auto"/>
        <w:rPr>
          <w:rFonts w:ascii="Calibri" w:eastAsia="Calibri" w:hAnsi="Calibri"/>
          <w:sz w:val="24"/>
          <w:szCs w:val="24"/>
          <w:lang w:bidi="en-GB"/>
        </w:rPr>
      </w:pPr>
      <w:r w:rsidRPr="002D06E6">
        <w:rPr>
          <w:rFonts w:ascii="Calibri" w:eastAsia="Calibri" w:hAnsi="Calibri"/>
          <w:sz w:val="24"/>
          <w:szCs w:val="24"/>
          <w:lang w:bidi="en-GB"/>
        </w:rPr>
        <w:t>Clip duration should be left blank or “n/a”</w:t>
      </w:r>
    </w:p>
    <w:p w:rsidR="002D06E6" w:rsidRPr="002D06E6" w:rsidRDefault="002D06E6" w:rsidP="002D06E6">
      <w:pPr>
        <w:numPr>
          <w:ilvl w:val="1"/>
          <w:numId w:val="15"/>
        </w:numPr>
        <w:spacing w:after="160" w:line="259" w:lineRule="auto"/>
        <w:rPr>
          <w:rFonts w:ascii="Calibri" w:eastAsia="Calibri" w:hAnsi="Calibri"/>
          <w:sz w:val="24"/>
          <w:szCs w:val="24"/>
          <w:lang w:bidi="en-GB"/>
        </w:rPr>
      </w:pPr>
      <w:r w:rsidRPr="002D06E6">
        <w:rPr>
          <w:rFonts w:ascii="Calibri" w:eastAsia="Calibri" w:hAnsi="Calibri"/>
          <w:sz w:val="24"/>
          <w:szCs w:val="24"/>
          <w:lang w:bidi="en-GB"/>
        </w:rPr>
        <w:t xml:space="preserve">Comments: Please note if the exhibit contains any sensitive or distressing material. The comments field should not be used for any other reason. </w:t>
      </w:r>
    </w:p>
    <w:p w:rsidR="002D06E6" w:rsidRPr="002D06E6" w:rsidRDefault="002D06E6" w:rsidP="002D06E6">
      <w:pPr>
        <w:numPr>
          <w:ilvl w:val="0"/>
          <w:numId w:val="14"/>
        </w:numPr>
        <w:spacing w:after="160" w:line="259" w:lineRule="auto"/>
        <w:rPr>
          <w:rFonts w:ascii="Calibri" w:eastAsia="Calibri" w:hAnsi="Calibri"/>
          <w:sz w:val="24"/>
          <w:szCs w:val="24"/>
          <w:lang w:bidi="en-GB"/>
        </w:rPr>
      </w:pPr>
      <w:r w:rsidRPr="002D06E6">
        <w:rPr>
          <w:rFonts w:ascii="Calibri" w:eastAsia="Calibri" w:hAnsi="Calibri"/>
          <w:sz w:val="24"/>
          <w:szCs w:val="24"/>
          <w:lang w:bidi="en-GB"/>
        </w:rPr>
        <w:t>MG00 (unused material) – As above but additional fields including Schedule and item number should also be included.</w:t>
      </w:r>
    </w:p>
    <w:p w:rsidR="002D06E6" w:rsidRPr="002D06E6" w:rsidRDefault="002D06E6" w:rsidP="002D06E6">
      <w:pPr>
        <w:numPr>
          <w:ilvl w:val="0"/>
          <w:numId w:val="14"/>
        </w:numPr>
        <w:spacing w:after="160" w:line="259" w:lineRule="auto"/>
        <w:rPr>
          <w:rFonts w:ascii="Calibri" w:eastAsia="Calibri" w:hAnsi="Calibri"/>
          <w:sz w:val="24"/>
          <w:szCs w:val="24"/>
          <w:lang w:bidi="en-GB"/>
        </w:rPr>
      </w:pPr>
      <w:r w:rsidRPr="002D06E6">
        <w:rPr>
          <w:rFonts w:ascii="Calibri" w:eastAsia="Calibri" w:hAnsi="Calibri"/>
          <w:sz w:val="24"/>
          <w:szCs w:val="24"/>
          <w:lang w:bidi="en-GB"/>
        </w:rPr>
        <w:t>Naming of the MG00 in integrated case systems - the album should follow format “MG00 Ex DMD1 Photobook of crime scene 280720 [date images captured]</w:t>
      </w:r>
    </w:p>
    <w:p w:rsidR="00C518FD" w:rsidRPr="00C518FD" w:rsidRDefault="002D06E6" w:rsidP="004A6FDE">
      <w:pPr>
        <w:numPr>
          <w:ilvl w:val="0"/>
          <w:numId w:val="14"/>
        </w:numPr>
        <w:spacing w:after="200" w:line="276" w:lineRule="auto"/>
        <w:rPr>
          <w:rFonts w:ascii="Calibri" w:eastAsia="Calibri" w:hAnsi="Calibri"/>
          <w:b/>
          <w:bCs/>
          <w:sz w:val="24"/>
          <w:szCs w:val="24"/>
          <w:lang w:bidi="en-GB"/>
        </w:rPr>
      </w:pPr>
      <w:r w:rsidRPr="00C518FD">
        <w:rPr>
          <w:rFonts w:ascii="Calibri" w:eastAsia="Calibri" w:hAnsi="Calibri"/>
          <w:sz w:val="24"/>
          <w:szCs w:val="24"/>
          <w:lang w:bidi="en-GB"/>
        </w:rPr>
        <w:t>Clearly an amalgamated photobook will not have a single exhibit so the LM06 message sending field for the X ref should be left blank.</w:t>
      </w:r>
    </w:p>
    <w:p w:rsidR="005248D8" w:rsidRPr="005E0DB5" w:rsidRDefault="00C518FD" w:rsidP="00A82EAC">
      <w:pPr>
        <w:numPr>
          <w:ilvl w:val="0"/>
          <w:numId w:val="14"/>
        </w:numPr>
        <w:spacing w:after="200" w:line="276" w:lineRule="auto"/>
        <w:rPr>
          <w:rFonts w:asciiTheme="minorHAnsi" w:hAnsiTheme="minorHAnsi" w:cs="Tahoma"/>
          <w:sz w:val="20"/>
          <w:szCs w:val="20"/>
          <w:lang w:eastAsia="en-GB"/>
        </w:rPr>
      </w:pPr>
      <w:r w:rsidRPr="005E0DB5">
        <w:rPr>
          <w:rFonts w:ascii="Calibri" w:eastAsia="Calibri" w:hAnsi="Calibri"/>
          <w:sz w:val="24"/>
          <w:szCs w:val="24"/>
          <w:lang w:bidi="en-GB"/>
        </w:rPr>
        <w:t>Naming of the MG00UM in integrated case systems - the album should follow format “MG00UM MG6C Item 6 DMD1 Photobook of crime scen</w:t>
      </w:r>
      <w:r w:rsidR="007E0457" w:rsidRPr="005E0DB5">
        <w:rPr>
          <w:rFonts w:ascii="Calibri" w:eastAsia="Calibri" w:hAnsi="Calibri"/>
          <w:sz w:val="24"/>
          <w:szCs w:val="24"/>
          <w:lang w:bidi="en-GB"/>
        </w:rPr>
        <w:t>e 280720 [date images captured].</w:t>
      </w:r>
    </w:p>
    <w:p w:rsidR="00EF76D2" w:rsidRDefault="005E0DB5">
      <w:pPr>
        <w:spacing w:after="200" w:line="276" w:lineRule="auto"/>
        <w:rPr>
          <w:rFonts w:asciiTheme="minorHAnsi" w:hAnsiTheme="minorHAnsi" w:cs="Tahoma"/>
          <w:b/>
          <w:szCs w:val="20"/>
        </w:rPr>
        <w:sectPr w:rsidR="00EF76D2" w:rsidSect="00990E34">
          <w:headerReference w:type="default" r:id="rId23"/>
          <w:pgSz w:w="11906" w:h="16838"/>
          <w:pgMar w:top="1702" w:right="1440" w:bottom="1440" w:left="1440" w:header="708" w:footer="708" w:gutter="0"/>
          <w:cols w:space="708"/>
          <w:titlePg/>
          <w:docGrid w:linePitch="360"/>
        </w:sectPr>
      </w:pPr>
      <w:r>
        <w:rPr>
          <w:rFonts w:asciiTheme="minorHAnsi" w:hAnsiTheme="minorHAnsi" w:cs="Tahoma"/>
          <w:b/>
          <w:szCs w:val="20"/>
        </w:rPr>
        <w:br w:type="page"/>
      </w:r>
    </w:p>
    <w:p w:rsidR="00E23C1F" w:rsidRPr="00E0755A" w:rsidRDefault="00E23C1F" w:rsidP="00E23C1F">
      <w:pPr>
        <w:pStyle w:val="Heading1"/>
      </w:pPr>
      <w:bookmarkStart w:id="15" w:name="_Ref29553585"/>
      <w:bookmarkStart w:id="16" w:name="_Toc185589618"/>
      <w:r>
        <w:t>Annex 4</w:t>
      </w:r>
      <w:bookmarkEnd w:id="15"/>
      <w:r w:rsidR="00A82EAC">
        <w:t xml:space="preserve">: </w:t>
      </w:r>
      <w:r w:rsidR="00A82EAC">
        <w:rPr>
          <w:rFonts w:cstheme="minorHAnsi"/>
          <w:sz w:val="24"/>
          <w:szCs w:val="24"/>
        </w:rPr>
        <w:t xml:space="preserve">NPCC forces of </w:t>
      </w:r>
      <w:r w:rsidR="00A82EAC" w:rsidRPr="00E0755A">
        <w:rPr>
          <w:rFonts w:cstheme="minorHAnsi"/>
          <w:sz w:val="24"/>
          <w:szCs w:val="24"/>
        </w:rPr>
        <w:t>England and Wales</w:t>
      </w:r>
      <w:bookmarkEnd w:id="16"/>
    </w:p>
    <w:p w:rsidR="00E23C1F" w:rsidRPr="00E0755A" w:rsidRDefault="00E23C1F" w:rsidP="00E23C1F">
      <w:pPr>
        <w:jc w:val="both"/>
        <w:rPr>
          <w:rFonts w:asciiTheme="minorHAnsi" w:hAnsiTheme="minorHAnsi" w:cstheme="minorHAnsi"/>
          <w:sz w:val="24"/>
          <w:szCs w:val="24"/>
        </w:rPr>
      </w:pPr>
      <w:r w:rsidRPr="00E0755A">
        <w:rPr>
          <w:rFonts w:asciiTheme="minorHAnsi" w:hAnsiTheme="minorHAnsi" w:cstheme="minorHAnsi"/>
          <w:sz w:val="24"/>
          <w:szCs w:val="24"/>
        </w:rPr>
        <w:t xml:space="preserve">This Agreement was signed off by the relevant NPCC Lead on behalf of </w:t>
      </w:r>
      <w:r>
        <w:rPr>
          <w:rFonts w:asciiTheme="minorHAnsi" w:hAnsiTheme="minorHAnsi" w:cstheme="minorHAnsi"/>
          <w:sz w:val="24"/>
          <w:szCs w:val="24"/>
        </w:rPr>
        <w:t xml:space="preserve">the </w:t>
      </w:r>
      <w:r w:rsidRPr="00E0755A">
        <w:rPr>
          <w:rFonts w:asciiTheme="minorHAnsi" w:hAnsiTheme="minorHAnsi" w:cstheme="minorHAnsi"/>
          <w:sz w:val="24"/>
          <w:szCs w:val="24"/>
        </w:rPr>
        <w:t xml:space="preserve">Chief Constables of </w:t>
      </w:r>
      <w:r>
        <w:rPr>
          <w:rFonts w:asciiTheme="minorHAnsi" w:hAnsiTheme="minorHAnsi" w:cstheme="minorHAnsi"/>
          <w:sz w:val="24"/>
          <w:szCs w:val="24"/>
        </w:rPr>
        <w:t xml:space="preserve">NPCC forces of </w:t>
      </w:r>
      <w:r w:rsidRPr="00E0755A">
        <w:rPr>
          <w:rFonts w:asciiTheme="minorHAnsi" w:hAnsiTheme="minorHAnsi" w:cstheme="minorHAnsi"/>
          <w:sz w:val="24"/>
          <w:szCs w:val="24"/>
        </w:rPr>
        <w:t>England and Wales</w:t>
      </w:r>
      <w:r>
        <w:rPr>
          <w:rFonts w:asciiTheme="minorHAnsi" w:hAnsiTheme="minorHAnsi" w:cstheme="minorHAnsi"/>
          <w:sz w:val="24"/>
          <w:szCs w:val="24"/>
        </w:rPr>
        <w:t xml:space="preserve"> (listed below). However, </w:t>
      </w:r>
      <w:r w:rsidRPr="00E0755A">
        <w:rPr>
          <w:rFonts w:asciiTheme="minorHAnsi" w:hAnsiTheme="minorHAnsi" w:cstheme="minorHAnsi"/>
          <w:sz w:val="24"/>
          <w:szCs w:val="24"/>
        </w:rPr>
        <w:t>the information sharing will be facilitated by each individual Police Force</w:t>
      </w:r>
      <w:r>
        <w:rPr>
          <w:rFonts w:asciiTheme="minorHAnsi" w:hAnsiTheme="minorHAnsi" w:cstheme="minorHAnsi"/>
          <w:sz w:val="24"/>
          <w:szCs w:val="24"/>
        </w:rPr>
        <w:t xml:space="preserve"> and </w:t>
      </w:r>
      <w:r w:rsidRPr="00E0755A">
        <w:rPr>
          <w:rFonts w:asciiTheme="minorHAnsi" w:hAnsiTheme="minorHAnsi" w:cstheme="minorHAnsi"/>
          <w:sz w:val="24"/>
          <w:szCs w:val="24"/>
        </w:rPr>
        <w:t xml:space="preserve">the Chief </w:t>
      </w:r>
      <w:r>
        <w:rPr>
          <w:rFonts w:asciiTheme="minorHAnsi" w:hAnsiTheme="minorHAnsi" w:cstheme="minorHAnsi"/>
          <w:sz w:val="24"/>
          <w:szCs w:val="24"/>
        </w:rPr>
        <w:t>Constable</w:t>
      </w:r>
      <w:r w:rsidRPr="00E0755A">
        <w:rPr>
          <w:rFonts w:asciiTheme="minorHAnsi" w:hAnsiTheme="minorHAnsi" w:cstheme="minorHAnsi"/>
          <w:sz w:val="24"/>
          <w:szCs w:val="24"/>
        </w:rPr>
        <w:t xml:space="preserve"> for each Police Force</w:t>
      </w:r>
      <w:r>
        <w:rPr>
          <w:rFonts w:asciiTheme="minorHAnsi" w:hAnsiTheme="minorHAnsi" w:cstheme="minorHAnsi"/>
          <w:sz w:val="24"/>
          <w:szCs w:val="24"/>
        </w:rPr>
        <w:t>, a</w:t>
      </w:r>
      <w:r w:rsidRPr="00E0755A">
        <w:rPr>
          <w:rFonts w:asciiTheme="minorHAnsi" w:hAnsiTheme="minorHAnsi" w:cstheme="minorHAnsi"/>
          <w:sz w:val="24"/>
          <w:szCs w:val="24"/>
        </w:rPr>
        <w:t xml:space="preserve">s Data Controller, has overall responsibility for their compliance with Data Protection legislation.  </w:t>
      </w:r>
    </w:p>
    <w:p w:rsidR="00E23C1F" w:rsidRPr="00E0755A" w:rsidRDefault="00E23C1F" w:rsidP="00E23C1F">
      <w:pPr>
        <w:jc w:val="both"/>
        <w:rPr>
          <w:rFonts w:asciiTheme="minorHAnsi" w:hAnsiTheme="minorHAnsi" w:cstheme="minorHAnsi"/>
          <w:sz w:val="24"/>
          <w:szCs w:val="24"/>
        </w:rPr>
      </w:pPr>
    </w:p>
    <w:p w:rsidR="00E23C1F" w:rsidRPr="00FF6E5D" w:rsidRDefault="00E23C1F" w:rsidP="00E23C1F">
      <w:r w:rsidRPr="00FF6E5D">
        <w:t>Avon &amp; Somerset Constabulary</w:t>
      </w:r>
    </w:p>
    <w:p w:rsidR="00E23C1F" w:rsidRPr="00FF6E5D" w:rsidRDefault="00E23C1F" w:rsidP="00E23C1F">
      <w:r w:rsidRPr="00FF6E5D">
        <w:t>Bedfordshire Police</w:t>
      </w:r>
    </w:p>
    <w:p w:rsidR="00E23C1F" w:rsidRPr="00FF6E5D" w:rsidRDefault="00E23C1F" w:rsidP="00E23C1F">
      <w:r w:rsidRPr="00FF6E5D">
        <w:t>British Transport Police</w:t>
      </w:r>
    </w:p>
    <w:p w:rsidR="00E23C1F" w:rsidRPr="00FF6E5D" w:rsidRDefault="00E23C1F" w:rsidP="00E23C1F">
      <w:r w:rsidRPr="00FF6E5D">
        <w:t>Cambridgeshire Constabulary</w:t>
      </w:r>
    </w:p>
    <w:p w:rsidR="00E23C1F" w:rsidRPr="00FF6E5D" w:rsidRDefault="00E23C1F" w:rsidP="00E23C1F">
      <w:r w:rsidRPr="00FF6E5D">
        <w:t>Cheshire Constabulary</w:t>
      </w:r>
    </w:p>
    <w:p w:rsidR="00E23C1F" w:rsidRPr="00FF6E5D" w:rsidRDefault="00E23C1F" w:rsidP="00E23C1F">
      <w:r w:rsidRPr="00FF6E5D">
        <w:t>City of London Police</w:t>
      </w:r>
    </w:p>
    <w:p w:rsidR="00E23C1F" w:rsidRPr="00FF6E5D" w:rsidRDefault="00E23C1F" w:rsidP="00E23C1F">
      <w:r w:rsidRPr="00FF6E5D">
        <w:t>Civil Nuclear Constabulary</w:t>
      </w:r>
    </w:p>
    <w:p w:rsidR="00E23C1F" w:rsidRPr="00FF6E5D" w:rsidRDefault="00E23C1F" w:rsidP="00E23C1F">
      <w:r w:rsidRPr="00FF6E5D">
        <w:t>Cleveland Police</w:t>
      </w:r>
    </w:p>
    <w:p w:rsidR="00E23C1F" w:rsidRPr="00FF6E5D" w:rsidRDefault="00E23C1F" w:rsidP="00E23C1F">
      <w:r w:rsidRPr="00FF6E5D">
        <w:t>Cumbria Constabulary</w:t>
      </w:r>
    </w:p>
    <w:p w:rsidR="00E23C1F" w:rsidRPr="00FF6E5D" w:rsidRDefault="00E23C1F" w:rsidP="00E23C1F">
      <w:r w:rsidRPr="00FF6E5D">
        <w:t>Derbyshire Constabulary</w:t>
      </w:r>
    </w:p>
    <w:p w:rsidR="00E23C1F" w:rsidRPr="00FF6E5D" w:rsidRDefault="00E23C1F" w:rsidP="00E23C1F">
      <w:r w:rsidRPr="00FF6E5D">
        <w:t>Devon &amp; Cornwall Police</w:t>
      </w:r>
    </w:p>
    <w:p w:rsidR="00E23C1F" w:rsidRPr="00FF6E5D" w:rsidRDefault="00E23C1F" w:rsidP="00E23C1F">
      <w:r w:rsidRPr="00FF6E5D">
        <w:t>Dorset Police</w:t>
      </w:r>
    </w:p>
    <w:p w:rsidR="00E23C1F" w:rsidRPr="00FF6E5D" w:rsidRDefault="00E23C1F" w:rsidP="00E23C1F">
      <w:r w:rsidRPr="00FF6E5D">
        <w:t>Durham Constabulary</w:t>
      </w:r>
    </w:p>
    <w:p w:rsidR="00E23C1F" w:rsidRPr="00FF6E5D" w:rsidRDefault="00E23C1F" w:rsidP="00E23C1F">
      <w:r w:rsidRPr="00FF6E5D">
        <w:t>Dyfed-Powys Police</w:t>
      </w:r>
    </w:p>
    <w:p w:rsidR="00E23C1F" w:rsidRPr="00FF6E5D" w:rsidRDefault="00E23C1F" w:rsidP="00E23C1F">
      <w:r w:rsidRPr="00FF6E5D">
        <w:t>Essex Police</w:t>
      </w:r>
    </w:p>
    <w:p w:rsidR="00E23C1F" w:rsidRPr="00FF6E5D" w:rsidRDefault="00E23C1F" w:rsidP="00E23C1F">
      <w:r w:rsidRPr="00FF6E5D">
        <w:t>Gloucestershire Constabulary</w:t>
      </w:r>
    </w:p>
    <w:p w:rsidR="00E23C1F" w:rsidRPr="00FF6E5D" w:rsidRDefault="00E23C1F" w:rsidP="00E23C1F">
      <w:r w:rsidRPr="00FF6E5D">
        <w:t>Greater Manchester Police</w:t>
      </w:r>
    </w:p>
    <w:p w:rsidR="00E23C1F" w:rsidRPr="00FF6E5D" w:rsidRDefault="00E23C1F" w:rsidP="00E23C1F">
      <w:r w:rsidRPr="00FF6E5D">
        <w:t>Gwent Police</w:t>
      </w:r>
    </w:p>
    <w:p w:rsidR="00E23C1F" w:rsidRPr="00FF6E5D" w:rsidRDefault="00E23C1F" w:rsidP="00E23C1F">
      <w:r w:rsidRPr="00FF6E5D">
        <w:t>Hampshire Constabulary</w:t>
      </w:r>
    </w:p>
    <w:p w:rsidR="00E23C1F" w:rsidRPr="00FF6E5D" w:rsidRDefault="00E23C1F" w:rsidP="00E23C1F">
      <w:r w:rsidRPr="00FF6E5D">
        <w:t>Hertfordshire Constabulary</w:t>
      </w:r>
    </w:p>
    <w:p w:rsidR="00E23C1F" w:rsidRPr="00FF6E5D" w:rsidRDefault="00E23C1F" w:rsidP="00E23C1F">
      <w:r w:rsidRPr="00FF6E5D">
        <w:t>Humberside Police</w:t>
      </w:r>
    </w:p>
    <w:p w:rsidR="00E23C1F" w:rsidRPr="00FF6E5D" w:rsidRDefault="00E23C1F" w:rsidP="00E23C1F">
      <w:r w:rsidRPr="00FF6E5D">
        <w:t>Kent Police</w:t>
      </w:r>
    </w:p>
    <w:p w:rsidR="00E23C1F" w:rsidRPr="00FF6E5D" w:rsidRDefault="00E23C1F" w:rsidP="00E23C1F">
      <w:r w:rsidRPr="00FF6E5D">
        <w:t>Lancashire Constabulary</w:t>
      </w:r>
    </w:p>
    <w:p w:rsidR="00E23C1F" w:rsidRPr="00FF6E5D" w:rsidRDefault="00E23C1F" w:rsidP="00E23C1F">
      <w:r w:rsidRPr="00FF6E5D">
        <w:t>Leicestershire Constabulary</w:t>
      </w:r>
    </w:p>
    <w:p w:rsidR="00E23C1F" w:rsidRPr="00FF6E5D" w:rsidRDefault="00E23C1F" w:rsidP="00E23C1F">
      <w:r w:rsidRPr="00FF6E5D">
        <w:t>Lincolnshire Police</w:t>
      </w:r>
    </w:p>
    <w:p w:rsidR="00E23C1F" w:rsidRPr="00FF6E5D" w:rsidRDefault="00E23C1F" w:rsidP="00E23C1F">
      <w:r w:rsidRPr="00FF6E5D">
        <w:t>Merseyside Police</w:t>
      </w:r>
    </w:p>
    <w:p w:rsidR="00E23C1F" w:rsidRPr="00FF6E5D" w:rsidRDefault="00E23C1F" w:rsidP="00E23C1F">
      <w:r w:rsidRPr="00FF6E5D">
        <w:t>Metropolitan Police Service</w:t>
      </w:r>
    </w:p>
    <w:p w:rsidR="00E23C1F" w:rsidRPr="00FF6E5D" w:rsidRDefault="00E23C1F" w:rsidP="00E23C1F">
      <w:r w:rsidRPr="00FF6E5D">
        <w:t>Ministry of Defence Police</w:t>
      </w:r>
    </w:p>
    <w:p w:rsidR="00E23C1F" w:rsidRPr="00FF6E5D" w:rsidRDefault="00E23C1F" w:rsidP="00E23C1F">
      <w:r w:rsidRPr="00FF6E5D">
        <w:t>Norfolk Constabulary</w:t>
      </w:r>
    </w:p>
    <w:p w:rsidR="00E23C1F" w:rsidRPr="00FF6E5D" w:rsidRDefault="00E23C1F" w:rsidP="00E23C1F">
      <w:r w:rsidRPr="00FF6E5D">
        <w:t>North Wales Police</w:t>
      </w:r>
    </w:p>
    <w:p w:rsidR="00E23C1F" w:rsidRPr="00FF6E5D" w:rsidRDefault="00E23C1F" w:rsidP="00E23C1F">
      <w:r w:rsidRPr="00FF6E5D">
        <w:t>North Yorkshire Police</w:t>
      </w:r>
    </w:p>
    <w:p w:rsidR="00E23C1F" w:rsidRPr="00FF6E5D" w:rsidRDefault="00E23C1F" w:rsidP="00E23C1F">
      <w:r w:rsidRPr="00FF6E5D">
        <w:t>Northamptonshire Police</w:t>
      </w:r>
    </w:p>
    <w:p w:rsidR="00E23C1F" w:rsidRPr="00FF6E5D" w:rsidRDefault="00E23C1F" w:rsidP="00E23C1F">
      <w:r w:rsidRPr="00FF6E5D">
        <w:t>Northumbria Police</w:t>
      </w:r>
    </w:p>
    <w:p w:rsidR="00E23C1F" w:rsidRPr="00FF6E5D" w:rsidRDefault="00E23C1F" w:rsidP="00E23C1F">
      <w:r w:rsidRPr="00FF6E5D">
        <w:t>Nottinghamshire Police</w:t>
      </w:r>
    </w:p>
    <w:p w:rsidR="00E23C1F" w:rsidRPr="00FF6E5D" w:rsidRDefault="00E23C1F" w:rsidP="00E23C1F">
      <w:r w:rsidRPr="00FF6E5D">
        <w:t>South Wales Police</w:t>
      </w:r>
    </w:p>
    <w:p w:rsidR="00E23C1F" w:rsidRPr="00FF6E5D" w:rsidRDefault="00E23C1F" w:rsidP="00E23C1F">
      <w:r w:rsidRPr="00FF6E5D">
        <w:t>South Yorkshire Police</w:t>
      </w:r>
    </w:p>
    <w:p w:rsidR="00E23C1F" w:rsidRPr="00FF6E5D" w:rsidRDefault="00E23C1F" w:rsidP="00E23C1F">
      <w:r w:rsidRPr="00FF6E5D">
        <w:t>Staffordshire Police</w:t>
      </w:r>
    </w:p>
    <w:p w:rsidR="00E23C1F" w:rsidRPr="00FF6E5D" w:rsidRDefault="00E23C1F" w:rsidP="00E23C1F">
      <w:r w:rsidRPr="00FF6E5D">
        <w:t>Suffolk Constabulary</w:t>
      </w:r>
    </w:p>
    <w:p w:rsidR="00E23C1F" w:rsidRPr="00FF6E5D" w:rsidRDefault="00E23C1F" w:rsidP="00E23C1F">
      <w:r w:rsidRPr="00FF6E5D">
        <w:t>Surrey Police</w:t>
      </w:r>
    </w:p>
    <w:p w:rsidR="00E23C1F" w:rsidRPr="00FF6E5D" w:rsidRDefault="00E23C1F" w:rsidP="00E23C1F">
      <w:r w:rsidRPr="00FF6E5D">
        <w:t>Sussex Police</w:t>
      </w:r>
    </w:p>
    <w:p w:rsidR="00E23C1F" w:rsidRPr="00FF6E5D" w:rsidRDefault="00E23C1F" w:rsidP="00E23C1F">
      <w:r w:rsidRPr="00FF6E5D">
        <w:t>Thames Valley Police</w:t>
      </w:r>
    </w:p>
    <w:p w:rsidR="00E23C1F" w:rsidRPr="00FF6E5D" w:rsidRDefault="00E23C1F" w:rsidP="00E23C1F">
      <w:r w:rsidRPr="00FF6E5D">
        <w:t>Warwickshire Police</w:t>
      </w:r>
    </w:p>
    <w:p w:rsidR="002C0CD4" w:rsidRPr="00481F9C" w:rsidRDefault="00E23C1F" w:rsidP="00481F9C">
      <w:r w:rsidRPr="00FF6E5D">
        <w:t>West Mercia Police</w:t>
      </w:r>
    </w:p>
    <w:sectPr w:rsidR="002C0CD4" w:rsidRPr="00481F9C" w:rsidSect="00990E34">
      <w:pgSz w:w="11906" w:h="16838"/>
      <w:pgMar w:top="1702"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6F01" w:rsidRDefault="00CD6F01" w:rsidP="00D97282">
      <w:r>
        <w:separator/>
      </w:r>
    </w:p>
  </w:endnote>
  <w:endnote w:type="continuationSeparator" w:id="0">
    <w:p w:rsidR="00CD6F01" w:rsidRDefault="00CD6F01" w:rsidP="00D97282">
      <w:r>
        <w:continuationSeparator/>
      </w:r>
    </w:p>
  </w:endnote>
  <w:endnote w:id="1">
    <w:p w:rsidR="00A82EAC" w:rsidRDefault="00A82EAC" w:rsidP="002D06E6">
      <w:pPr>
        <w:pStyle w:val="EndnoteText"/>
        <w:rPr>
          <w:rFonts w:asciiTheme="minorHAnsi" w:hAnsiTheme="minorHAnsi" w:cstheme="minorHAnsi"/>
        </w:rPr>
      </w:pPr>
      <w:r w:rsidRPr="00990E34">
        <w:rPr>
          <w:rStyle w:val="EndnoteReference"/>
          <w:rFonts w:asciiTheme="minorHAnsi" w:hAnsiTheme="minorHAnsi" w:cstheme="minorHAnsi"/>
          <w:color w:val="FFFFFF"/>
        </w:rPr>
        <w:endnoteRef/>
      </w:r>
      <w:r w:rsidRPr="00990E34">
        <w:rPr>
          <w:rFonts w:asciiTheme="minorHAnsi" w:hAnsiTheme="minorHAnsi" w:cstheme="minorHAnsi"/>
        </w:rPr>
        <w:t>*The principles in this document are for use in volume crime cases only. A separate document will be developed for Major Crime and Complex Crime Unit case.</w:t>
      </w:r>
    </w:p>
    <w:p w:rsidR="00A82EAC" w:rsidRDefault="00A82EAC" w:rsidP="002D06E6">
      <w:pPr>
        <w:pStyle w:val="EndnoteText"/>
        <w:rPr>
          <w:rFonts w:asciiTheme="minorHAnsi" w:hAnsiTheme="minorHAnsi" w:cstheme="minorHAnsi"/>
        </w:rPr>
      </w:pPr>
    </w:p>
    <w:p w:rsidR="00A82EAC" w:rsidRDefault="00A82EAC" w:rsidP="002D06E6">
      <w:pPr>
        <w:pStyle w:val="EndnoteText"/>
        <w:rPr>
          <w:rFonts w:asciiTheme="minorHAnsi" w:hAnsiTheme="minorHAnsi" w:cstheme="minorHAnsi"/>
        </w:rPr>
      </w:pPr>
    </w:p>
    <w:p w:rsidR="00A82EAC" w:rsidRDefault="00A82EAC" w:rsidP="002D06E6">
      <w:pPr>
        <w:pStyle w:val="EndnoteText"/>
        <w:rPr>
          <w:rFonts w:asciiTheme="minorHAnsi" w:hAnsiTheme="minorHAnsi" w:cstheme="minorHAnsi"/>
        </w:rPr>
      </w:pPr>
    </w:p>
    <w:p w:rsidR="00A82EAC" w:rsidRPr="00990E34" w:rsidRDefault="00A82EAC" w:rsidP="002D06E6">
      <w:pPr>
        <w:pStyle w:val="EndnoteText"/>
        <w:rPr>
          <w:rFonts w:asciiTheme="minorHAnsi" w:hAnsiTheme="minorHAnsi" w:cstheme="minorHAnsi"/>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871464"/>
      <w:docPartObj>
        <w:docPartGallery w:val="Page Numbers (Bottom of Page)"/>
        <w:docPartUnique/>
      </w:docPartObj>
    </w:sdtPr>
    <w:sdtEndPr>
      <w:rPr>
        <w:noProof/>
      </w:rPr>
    </w:sdtEndPr>
    <w:sdtContent>
      <w:p w:rsidR="009A7F1D" w:rsidRDefault="009A7F1D">
        <w:pPr>
          <w:pStyle w:val="Footer"/>
          <w:jc w:val="right"/>
        </w:pPr>
        <w:r>
          <w:fldChar w:fldCharType="begin"/>
        </w:r>
        <w:r>
          <w:instrText xml:space="preserve"> PAGE   \* MERGEFORMAT </w:instrText>
        </w:r>
        <w:r>
          <w:fldChar w:fldCharType="separate"/>
        </w:r>
        <w:r w:rsidR="0088064D">
          <w:rPr>
            <w:noProof/>
          </w:rPr>
          <w:t>19</w:t>
        </w:r>
        <w:r>
          <w:rPr>
            <w:noProof/>
          </w:rPr>
          <w:fldChar w:fldCharType="end"/>
        </w:r>
      </w:p>
    </w:sdtContent>
  </w:sdt>
  <w:p w:rsidR="00A82EAC" w:rsidRDefault="00A82E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3802195"/>
      <w:docPartObj>
        <w:docPartGallery w:val="Page Numbers (Bottom of Page)"/>
        <w:docPartUnique/>
      </w:docPartObj>
    </w:sdtPr>
    <w:sdtEndPr>
      <w:rPr>
        <w:noProof/>
      </w:rPr>
    </w:sdtEndPr>
    <w:sdtContent>
      <w:p w:rsidR="00A82EAC" w:rsidRDefault="0035776A" w:rsidP="0035776A">
        <w:pPr>
          <w:pStyle w:val="Footer"/>
          <w:jc w:val="right"/>
        </w:pPr>
        <w:r>
          <w:fldChar w:fldCharType="begin"/>
        </w:r>
        <w:r>
          <w:instrText xml:space="preserve"> PAGE   \* MERGEFORMAT </w:instrText>
        </w:r>
        <w:r>
          <w:fldChar w:fldCharType="separate"/>
        </w:r>
        <w:r w:rsidR="0088064D">
          <w:rPr>
            <w:noProof/>
          </w:rPr>
          <w:t>20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6F01" w:rsidRDefault="00CD6F01" w:rsidP="00D97282">
      <w:r>
        <w:separator/>
      </w:r>
    </w:p>
  </w:footnote>
  <w:footnote w:type="continuationSeparator" w:id="0">
    <w:p w:rsidR="00CD6F01" w:rsidRDefault="00CD6F01" w:rsidP="00D97282">
      <w:r>
        <w:continuationSeparator/>
      </w:r>
    </w:p>
  </w:footnote>
  <w:footnote w:id="1">
    <w:p w:rsidR="00A82EAC" w:rsidRDefault="00A82EAC" w:rsidP="002D06E6">
      <w:pPr>
        <w:pStyle w:val="FootnoteText"/>
      </w:pPr>
      <w:r>
        <w:rPr>
          <w:rStyle w:val="FootnoteReference"/>
        </w:rPr>
        <w:footnoteRef/>
      </w:r>
      <w:r>
        <w:t xml:space="preserve"> </w:t>
      </w:r>
      <w:r w:rsidRPr="00793FBC">
        <w:rPr>
          <w:rFonts w:asciiTheme="minorHAnsi" w:hAnsiTheme="minorHAnsi" w:cstheme="minorHAnsi"/>
        </w:rPr>
        <w:t>Reference to ‘Officer’ in this document should be considered as any relevant Police staff.</w:t>
      </w:r>
      <w:r w:rsidRPr="00B72115">
        <w:t xml:space="preserve">   </w:t>
      </w:r>
    </w:p>
  </w:footnote>
  <w:footnote w:id="2">
    <w:p w:rsidR="00A82EAC" w:rsidRPr="00793FBC" w:rsidRDefault="00A82EAC" w:rsidP="002D06E6">
      <w:pPr>
        <w:pStyle w:val="FootnoteText"/>
        <w:rPr>
          <w:rFonts w:asciiTheme="minorHAnsi" w:hAnsiTheme="minorHAnsi" w:cstheme="minorHAnsi"/>
        </w:rPr>
      </w:pPr>
      <w:r>
        <w:rPr>
          <w:rStyle w:val="FootnoteReference"/>
        </w:rPr>
        <w:footnoteRef/>
      </w:r>
      <w:r>
        <w:t xml:space="preserve"> </w:t>
      </w:r>
      <w:r w:rsidRPr="00793FBC">
        <w:rPr>
          <w:rFonts w:asciiTheme="minorHAnsi" w:hAnsiTheme="minorHAnsi" w:cstheme="minorHAnsi"/>
        </w:rPr>
        <w:t>Following the introduction of the Digital Case File (DCF) system, it is intended that the MG forms will be retired and replaced with new data fields on the DCF system. In this event Officers should adhere to above the principles when completing the new data fields forms introduced by DCF.</w:t>
      </w:r>
    </w:p>
  </w:footnote>
  <w:footnote w:id="3">
    <w:p w:rsidR="00A82EAC" w:rsidRPr="00793FBC" w:rsidRDefault="00A82EAC" w:rsidP="002D06E6">
      <w:pPr>
        <w:pStyle w:val="FootnoteText"/>
        <w:rPr>
          <w:rFonts w:asciiTheme="minorHAnsi" w:hAnsiTheme="minorHAnsi" w:cstheme="minorHAnsi"/>
        </w:rPr>
      </w:pPr>
      <w:r w:rsidRPr="00793FBC">
        <w:rPr>
          <w:rStyle w:val="FootnoteReference"/>
          <w:rFonts w:asciiTheme="minorHAnsi" w:hAnsiTheme="minorHAnsi" w:cstheme="minorHAnsi"/>
        </w:rPr>
        <w:footnoteRef/>
      </w:r>
      <w:r w:rsidRPr="00793FBC">
        <w:rPr>
          <w:rFonts w:asciiTheme="minorHAnsi" w:hAnsiTheme="minorHAnsi" w:cstheme="minorHAnsi"/>
        </w:rPr>
        <w:t xml:space="preserve"> Following the introduction of the DCF System, it is intended that the MG forms will be retired and replaced with new data fields on the DCF system. In this event Officers/staff should adhere to the above principles when</w:t>
      </w:r>
      <w:r w:rsidRPr="00687AD4">
        <w:t xml:space="preserve"> </w:t>
      </w:r>
      <w:r w:rsidRPr="00793FBC">
        <w:rPr>
          <w:rFonts w:asciiTheme="minorHAnsi" w:hAnsiTheme="minorHAnsi" w:cstheme="minorHAnsi"/>
        </w:rPr>
        <w:t>completing the new data fields forms. The rational for the inclusion of a longer clip should be included in the confidential information to the prosecutor.</w:t>
      </w:r>
    </w:p>
  </w:footnote>
  <w:footnote w:id="4">
    <w:p w:rsidR="00A82EAC" w:rsidRPr="00793FBC" w:rsidRDefault="00A82EAC" w:rsidP="002D06E6">
      <w:pPr>
        <w:pStyle w:val="FootnoteText"/>
        <w:rPr>
          <w:rFonts w:asciiTheme="minorHAnsi" w:hAnsiTheme="minorHAnsi" w:cstheme="minorHAnsi"/>
        </w:rPr>
      </w:pPr>
      <w:r w:rsidRPr="00793FBC">
        <w:rPr>
          <w:rStyle w:val="FootnoteReference"/>
          <w:rFonts w:asciiTheme="minorHAnsi" w:hAnsiTheme="minorHAnsi" w:cstheme="minorHAnsi"/>
        </w:rPr>
        <w:footnoteRef/>
      </w:r>
      <w:r w:rsidRPr="00793FBC">
        <w:rPr>
          <w:rFonts w:asciiTheme="minorHAnsi" w:hAnsiTheme="minorHAnsi" w:cstheme="minorHAnsi"/>
        </w:rPr>
        <w:t xml:space="preserve"> Following introduction of the DCF System, this will form part of the disclosure process within the system.</w:t>
      </w:r>
    </w:p>
  </w:footnote>
  <w:footnote w:id="5">
    <w:p w:rsidR="00A82EAC" w:rsidRPr="00793FBC" w:rsidRDefault="00A82EAC" w:rsidP="002D06E6">
      <w:pPr>
        <w:pStyle w:val="FootnoteText"/>
        <w:rPr>
          <w:rFonts w:asciiTheme="minorHAnsi" w:hAnsiTheme="minorHAnsi" w:cstheme="minorHAnsi"/>
        </w:rPr>
      </w:pPr>
      <w:r w:rsidRPr="00793FBC">
        <w:rPr>
          <w:rStyle w:val="FootnoteReference"/>
          <w:rFonts w:asciiTheme="minorHAnsi" w:hAnsiTheme="minorHAnsi" w:cstheme="minorHAnsi"/>
        </w:rPr>
        <w:footnoteRef/>
      </w:r>
      <w:r w:rsidRPr="00793FBC">
        <w:rPr>
          <w:rFonts w:asciiTheme="minorHAnsi" w:hAnsiTheme="minorHAnsi" w:cstheme="minorHAnsi"/>
        </w:rPr>
        <w:t xml:space="preserve"> See Footnote reference 4 above on page 12.</w:t>
      </w:r>
    </w:p>
  </w:footnote>
  <w:footnote w:id="6">
    <w:p w:rsidR="00A82EAC" w:rsidRDefault="00A82EAC" w:rsidP="002D06E6">
      <w:pPr>
        <w:pStyle w:val="FootnoteText"/>
      </w:pPr>
      <w:r w:rsidRPr="00793FBC">
        <w:rPr>
          <w:rStyle w:val="FootnoteReference"/>
          <w:rFonts w:asciiTheme="minorHAnsi" w:hAnsiTheme="minorHAnsi" w:cstheme="minorHAnsi"/>
        </w:rPr>
        <w:footnoteRef/>
      </w:r>
      <w:r w:rsidRPr="00793FBC">
        <w:rPr>
          <w:rFonts w:asciiTheme="minorHAnsi" w:hAnsiTheme="minorHAnsi" w:cstheme="minorHAnsi"/>
        </w:rPr>
        <w:t xml:space="preserve"> Following the introduction of the DCF System, it is intended that the MG forms will be retired and replaced with new data fields on the DCF system. In this event Officers/staff should adhere to the above principles when completing the new data fields forms. The rational for the inclusion of a longer clip should be included in the confidential information to the prosecutor.</w:t>
      </w:r>
    </w:p>
  </w:footnote>
  <w:footnote w:id="7">
    <w:p w:rsidR="00A82EAC" w:rsidRDefault="00A82EAC" w:rsidP="002D06E6">
      <w:pPr>
        <w:pStyle w:val="FootnoteText"/>
      </w:pPr>
      <w:r>
        <w:rPr>
          <w:rStyle w:val="FootnoteReference"/>
        </w:rPr>
        <w:footnoteRef/>
      </w:r>
      <w:r>
        <w:t xml:space="preserve"> Reference to ‘Officer(s)’ in this document should be considered as any relevant Police staff.   </w:t>
      </w:r>
    </w:p>
  </w:footnote>
  <w:footnote w:id="8">
    <w:p w:rsidR="00A82EAC" w:rsidRDefault="00A82EAC" w:rsidP="002D06E6">
      <w:pPr>
        <w:pStyle w:val="FootnoteText"/>
      </w:pPr>
      <w:r>
        <w:rPr>
          <w:rStyle w:val="FootnoteReference"/>
        </w:rPr>
        <w:footnoteRef/>
      </w:r>
      <w:r>
        <w:t xml:space="preserve"> Reference to ‘Officer(s)’ in this document should be considered as any relevant Police staff.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EAC" w:rsidRDefault="00A82EAC" w:rsidP="00683533">
    <w:pPr>
      <w:pStyle w:val="Header"/>
      <w:jc w:val="center"/>
    </w:pPr>
  </w:p>
  <w:sdt>
    <w:sdtPr>
      <w:id w:val="1691955378"/>
      <w:docPartObj>
        <w:docPartGallery w:val="Page Numbers (Top of Page)"/>
        <w:docPartUnique/>
      </w:docPartObj>
    </w:sdtPr>
    <w:sdtEndPr/>
    <w:sdtContent>
      <w:p w:rsidR="00A82EAC" w:rsidRPr="00683533" w:rsidRDefault="00A82EAC" w:rsidP="00683533">
        <w:pPr>
          <w:pStyle w:val="Header"/>
          <w:jc w:val="center"/>
          <w:rPr>
            <w:sz w:val="14"/>
            <w:szCs w:val="14"/>
          </w:rPr>
        </w:pPr>
        <w:r w:rsidRPr="002C0CD4">
          <w:rPr>
            <w:sz w:val="14"/>
            <w:szCs w:val="14"/>
          </w:rPr>
          <w:fldChar w:fldCharType="begin"/>
        </w:r>
        <w:r w:rsidRPr="002C0CD4">
          <w:rPr>
            <w:sz w:val="14"/>
            <w:szCs w:val="14"/>
          </w:rPr>
          <w:instrText xml:space="preserve"> PAGE   \* MERGEFORMAT </w:instrText>
        </w:r>
        <w:r w:rsidRPr="002C0CD4">
          <w:rPr>
            <w:sz w:val="14"/>
            <w:szCs w:val="14"/>
          </w:rPr>
          <w:fldChar w:fldCharType="separate"/>
        </w:r>
        <w:r w:rsidR="0088064D">
          <w:rPr>
            <w:noProof/>
            <w:sz w:val="14"/>
            <w:szCs w:val="14"/>
          </w:rPr>
          <w:t>14</w:t>
        </w:r>
        <w:r w:rsidRPr="002C0CD4">
          <w:rPr>
            <w:sz w:val="14"/>
            <w:szCs w:val="14"/>
          </w:rPr>
          <w:fldChar w:fldCharType="end"/>
        </w:r>
        <w:r w:rsidRPr="002C0CD4">
          <w:rPr>
            <w:sz w:val="14"/>
            <w:szCs w:val="14"/>
          </w:rPr>
          <w:t xml:space="preserve"> NOT PROTECTIVELY MARKED/RESTRICTED</w:t>
        </w:r>
        <w:r>
          <w:rPr>
            <w:sz w:val="14"/>
            <w:szCs w:val="14"/>
          </w:rPr>
          <w:t xml:space="preserve"> - </w:t>
        </w:r>
        <w:r w:rsidRPr="00683533">
          <w:rPr>
            <w:sz w:val="14"/>
            <w:szCs w:val="14"/>
          </w:rPr>
          <w:t>MEMORANDUM OF UNDERSTANDING</w:t>
        </w:r>
      </w:p>
      <w:p w:rsidR="00A82EAC" w:rsidRDefault="00A82EAC" w:rsidP="00683533">
        <w:pPr>
          <w:pStyle w:val="Header"/>
          <w:jc w:val="center"/>
        </w:pPr>
        <w:r w:rsidRPr="00683533">
          <w:rPr>
            <w:sz w:val="14"/>
            <w:szCs w:val="14"/>
          </w:rPr>
          <w:t>IN RELATION TO DIGITAL EVIDENCE SHARING</w:t>
        </w:r>
      </w:p>
    </w:sdtContent>
  </w:sdt>
  <w:p w:rsidR="00A82EAC" w:rsidRDefault="00A82E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EAC" w:rsidRDefault="00A82EAC">
    <w:pPr>
      <w:pStyle w:val="Header"/>
    </w:pPr>
    <w:r>
      <w:rPr>
        <w:noProof/>
        <w:lang w:eastAsia="en-GB"/>
      </w:rPr>
      <w:drawing>
        <wp:anchor distT="0" distB="0" distL="114300" distR="114300" simplePos="0" relativeHeight="251682816" behindDoc="1" locked="0" layoutInCell="1" allowOverlap="1" wp14:anchorId="3742F665" wp14:editId="6C544294">
          <wp:simplePos x="0" y="0"/>
          <wp:positionH relativeFrom="column">
            <wp:posOffset>4730750</wp:posOffset>
          </wp:positionH>
          <wp:positionV relativeFrom="paragraph">
            <wp:posOffset>15240</wp:posOffset>
          </wp:positionV>
          <wp:extent cx="1125220" cy="461645"/>
          <wp:effectExtent l="0" t="0" r="0" b="0"/>
          <wp:wrapTight wrapText="bothSides">
            <wp:wrapPolygon edited="0">
              <wp:start x="0" y="0"/>
              <wp:lineTo x="0" y="20501"/>
              <wp:lineTo x="21210" y="20501"/>
              <wp:lineTo x="21210" y="0"/>
              <wp:lineTo x="0" y="0"/>
            </wp:wrapPolygon>
          </wp:wrapTight>
          <wp:docPr id="245" name="Picture 24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 name="Picture 245"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25220" cy="461645"/>
                  </a:xfrm>
                  <a:prstGeom prst="rect">
                    <a:avLst/>
                  </a:prstGeom>
                </pic:spPr>
              </pic:pic>
            </a:graphicData>
          </a:graphic>
          <wp14:sizeRelH relativeFrom="page">
            <wp14:pctWidth>0</wp14:pctWidth>
          </wp14:sizeRelH>
          <wp14:sizeRelV relativeFrom="page">
            <wp14:pctHeight>0</wp14:pctHeight>
          </wp14:sizeRelV>
        </wp:anchor>
      </w:drawing>
    </w:r>
    <w:r w:rsidRPr="002C2554">
      <w:rPr>
        <w:noProof/>
        <w:lang w:eastAsia="en-GB"/>
      </w:rPr>
      <w:drawing>
        <wp:anchor distT="0" distB="0" distL="114300" distR="114300" simplePos="0" relativeHeight="251683840" behindDoc="1" locked="0" layoutInCell="1" allowOverlap="1" wp14:anchorId="790483A7" wp14:editId="180754FE">
          <wp:simplePos x="0" y="0"/>
          <wp:positionH relativeFrom="column">
            <wp:posOffset>6054366</wp:posOffset>
          </wp:positionH>
          <wp:positionV relativeFrom="paragraph">
            <wp:posOffset>-267998</wp:posOffset>
          </wp:positionV>
          <wp:extent cx="588010" cy="767715"/>
          <wp:effectExtent l="0" t="0" r="2540" b="0"/>
          <wp:wrapTight wrapText="bothSides">
            <wp:wrapPolygon edited="0">
              <wp:start x="4199" y="0"/>
              <wp:lineTo x="0" y="0"/>
              <wp:lineTo x="0" y="17687"/>
              <wp:lineTo x="2099" y="20903"/>
              <wp:lineTo x="19594" y="20903"/>
              <wp:lineTo x="20294" y="18759"/>
              <wp:lineTo x="20994" y="11256"/>
              <wp:lineTo x="20994" y="536"/>
              <wp:lineTo x="16795" y="0"/>
              <wp:lineTo x="4199" y="0"/>
            </wp:wrapPolygon>
          </wp:wrapTight>
          <wp:docPr id="247" name="Picture 247" descr="A picture containing shape&#10;&#10;Description automatically generated">
            <a:extLst xmlns:a="http://schemas.openxmlformats.org/drawingml/2006/main">
              <a:ext uri="{FF2B5EF4-FFF2-40B4-BE49-F238E27FC236}">
                <a16:creationId xmlns:a16="http://schemas.microsoft.com/office/drawing/2014/main" id="{AA15FCC2-9C1E-8DA7-257B-9FA3CC2FE80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A picture containing shape&#10;&#10;Description automatically generated">
                    <a:extLst>
                      <a:ext uri="{FF2B5EF4-FFF2-40B4-BE49-F238E27FC236}">
                        <a16:creationId xmlns:a16="http://schemas.microsoft.com/office/drawing/2014/main" id="{AA15FCC2-9C1E-8DA7-257B-9FA3CC2FE803}"/>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588010" cy="767715"/>
                  </a:xfrm>
                  <a:prstGeom prst="rect">
                    <a:avLst/>
                  </a:prstGeom>
                </pic:spPr>
              </pic:pic>
            </a:graphicData>
          </a:graphic>
          <wp14:sizeRelH relativeFrom="page">
            <wp14:pctWidth>0</wp14:pctWidth>
          </wp14:sizeRelH>
          <wp14:sizeRelV relativeFrom="page">
            <wp14:pctHeight>0</wp14:pctHeight>
          </wp14:sizeRelV>
        </wp:anchor>
      </w:drawing>
    </w:r>
  </w:p>
  <w:p w:rsidR="00A82EAC" w:rsidRDefault="00A82EAC" w:rsidP="00CC096C">
    <w:pPr>
      <w:pStyle w:val="Header"/>
      <w:jc w:val="center"/>
    </w:pPr>
  </w:p>
  <w:p w:rsidR="00A82EAC" w:rsidRDefault="00A82EAC" w:rsidP="00CC096C">
    <w:pPr>
      <w:pStyle w:val="Header"/>
      <w:jc w:val="center"/>
    </w:pPr>
  </w:p>
  <w:p w:rsidR="00A82EAC" w:rsidRDefault="00A82EA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2EAC" w:rsidRDefault="00A82EAC">
    <w:pPr>
      <w:pStyle w:val="Header"/>
    </w:pPr>
  </w:p>
  <w:p w:rsidR="00A82EAC" w:rsidRDefault="00A82EAC" w:rsidP="00CC096C">
    <w:pPr>
      <w:pStyle w:val="Header"/>
      <w:jc w:val="center"/>
    </w:pPr>
  </w:p>
  <w:sdt>
    <w:sdtPr>
      <w:id w:val="734674392"/>
      <w:docPartObj>
        <w:docPartGallery w:val="Page Numbers (Top of Page)"/>
        <w:docPartUnique/>
      </w:docPartObj>
    </w:sdtPr>
    <w:sdtEndPr/>
    <w:sdtContent>
      <w:p w:rsidR="00A82EAC" w:rsidRPr="00683533" w:rsidRDefault="00A82EAC" w:rsidP="00CC096C">
        <w:pPr>
          <w:pStyle w:val="Header"/>
          <w:jc w:val="center"/>
          <w:rPr>
            <w:sz w:val="14"/>
            <w:szCs w:val="14"/>
          </w:rPr>
        </w:pPr>
        <w:r w:rsidRPr="002C0CD4">
          <w:rPr>
            <w:sz w:val="14"/>
            <w:szCs w:val="14"/>
          </w:rPr>
          <w:fldChar w:fldCharType="begin"/>
        </w:r>
        <w:r w:rsidRPr="002C0CD4">
          <w:rPr>
            <w:sz w:val="14"/>
            <w:szCs w:val="14"/>
          </w:rPr>
          <w:instrText xml:space="preserve"> PAGE   \* MERGEFORMAT </w:instrText>
        </w:r>
        <w:r w:rsidRPr="002C0CD4">
          <w:rPr>
            <w:sz w:val="14"/>
            <w:szCs w:val="14"/>
          </w:rPr>
          <w:fldChar w:fldCharType="separate"/>
        </w:r>
        <w:r w:rsidR="0088064D">
          <w:rPr>
            <w:noProof/>
            <w:sz w:val="14"/>
            <w:szCs w:val="14"/>
          </w:rPr>
          <w:t>20</w:t>
        </w:r>
        <w:r w:rsidRPr="002C0CD4">
          <w:rPr>
            <w:sz w:val="14"/>
            <w:szCs w:val="14"/>
          </w:rPr>
          <w:fldChar w:fldCharType="end"/>
        </w:r>
        <w:r w:rsidRPr="002C0CD4">
          <w:rPr>
            <w:sz w:val="14"/>
            <w:szCs w:val="14"/>
          </w:rPr>
          <w:t xml:space="preserve"> NOT PROTECTIVELY MARKED/RESTRICTED</w:t>
        </w:r>
        <w:r>
          <w:rPr>
            <w:sz w:val="14"/>
            <w:szCs w:val="14"/>
          </w:rPr>
          <w:t xml:space="preserve"> - </w:t>
        </w:r>
        <w:r w:rsidRPr="00683533">
          <w:rPr>
            <w:sz w:val="14"/>
            <w:szCs w:val="14"/>
          </w:rPr>
          <w:t>MEMORANDUM OF UNDERSTANDING</w:t>
        </w:r>
      </w:p>
      <w:p w:rsidR="00A82EAC" w:rsidRDefault="00A82EAC" w:rsidP="00CC096C">
        <w:pPr>
          <w:pStyle w:val="Header"/>
          <w:jc w:val="center"/>
        </w:pPr>
        <w:r w:rsidRPr="00683533">
          <w:rPr>
            <w:sz w:val="14"/>
            <w:szCs w:val="14"/>
          </w:rPr>
          <w:t>IN RELATION TO DIGITAL EVIDENCE SHARING</w:t>
        </w:r>
      </w:p>
    </w:sdtContent>
  </w:sdt>
  <w:p w:rsidR="00A82EAC" w:rsidRDefault="00A82EA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782360"/>
      <w:docPartObj>
        <w:docPartGallery w:val="Page Numbers (Top of Page)"/>
        <w:docPartUnique/>
      </w:docPartObj>
    </w:sdtPr>
    <w:sdtEndPr/>
    <w:sdtContent>
      <w:p w:rsidR="00A82EAC" w:rsidRPr="00683533" w:rsidRDefault="00A82EAC" w:rsidP="00CC096C">
        <w:pPr>
          <w:pStyle w:val="Header"/>
          <w:jc w:val="center"/>
          <w:rPr>
            <w:sz w:val="14"/>
            <w:szCs w:val="14"/>
          </w:rPr>
        </w:pPr>
        <w:r w:rsidRPr="002C0CD4">
          <w:rPr>
            <w:sz w:val="14"/>
            <w:szCs w:val="14"/>
          </w:rPr>
          <w:fldChar w:fldCharType="begin"/>
        </w:r>
        <w:r w:rsidRPr="002C0CD4">
          <w:rPr>
            <w:sz w:val="14"/>
            <w:szCs w:val="14"/>
          </w:rPr>
          <w:instrText xml:space="preserve"> PAGE   \* MERGEFORMAT </w:instrText>
        </w:r>
        <w:r w:rsidRPr="002C0CD4">
          <w:rPr>
            <w:sz w:val="14"/>
            <w:szCs w:val="14"/>
          </w:rPr>
          <w:fldChar w:fldCharType="separate"/>
        </w:r>
        <w:r w:rsidR="0088064D">
          <w:rPr>
            <w:noProof/>
            <w:sz w:val="14"/>
            <w:szCs w:val="14"/>
          </w:rPr>
          <w:t>19</w:t>
        </w:r>
        <w:r w:rsidRPr="002C0CD4">
          <w:rPr>
            <w:sz w:val="14"/>
            <w:szCs w:val="14"/>
          </w:rPr>
          <w:fldChar w:fldCharType="end"/>
        </w:r>
        <w:r w:rsidRPr="002C0CD4">
          <w:rPr>
            <w:sz w:val="14"/>
            <w:szCs w:val="14"/>
          </w:rPr>
          <w:t xml:space="preserve"> NOT PROTECTIVELY MARKED/RESTRICTED</w:t>
        </w:r>
        <w:r>
          <w:rPr>
            <w:sz w:val="14"/>
            <w:szCs w:val="14"/>
          </w:rPr>
          <w:t xml:space="preserve"> - </w:t>
        </w:r>
        <w:r w:rsidRPr="00683533">
          <w:rPr>
            <w:sz w:val="14"/>
            <w:szCs w:val="14"/>
          </w:rPr>
          <w:t>MEMORANDUM OF UNDERSTANDING</w:t>
        </w:r>
      </w:p>
      <w:p w:rsidR="00A82EAC" w:rsidRDefault="00A82EAC" w:rsidP="00CC096C">
        <w:pPr>
          <w:pStyle w:val="Header"/>
          <w:jc w:val="center"/>
        </w:pPr>
        <w:r w:rsidRPr="00683533">
          <w:rPr>
            <w:sz w:val="14"/>
            <w:szCs w:val="14"/>
          </w:rPr>
          <w:t>IN RELATION TO DIGITAL EVIDENCE SHARING</w:t>
        </w:r>
      </w:p>
    </w:sdtContent>
  </w:sdt>
  <w:p w:rsidR="00A82EAC" w:rsidRDefault="00A82E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83B"/>
    <w:multiLevelType w:val="hybridMultilevel"/>
    <w:tmpl w:val="E41497E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06615F56"/>
    <w:multiLevelType w:val="hybridMultilevel"/>
    <w:tmpl w:val="8452D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F3C49"/>
    <w:multiLevelType w:val="hybridMultilevel"/>
    <w:tmpl w:val="DC900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0710D8"/>
    <w:multiLevelType w:val="hybridMultilevel"/>
    <w:tmpl w:val="AA168A2A"/>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 w15:restartNumberingAfterBreak="0">
    <w:nsid w:val="17E02ACE"/>
    <w:multiLevelType w:val="hybridMultilevel"/>
    <w:tmpl w:val="B71E9942"/>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C158EA"/>
    <w:multiLevelType w:val="hybridMultilevel"/>
    <w:tmpl w:val="47C4B8B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93071AA"/>
    <w:multiLevelType w:val="hybridMultilevel"/>
    <w:tmpl w:val="556EEC6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4A5903"/>
    <w:multiLevelType w:val="hybridMultilevel"/>
    <w:tmpl w:val="AA42360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6D4CD2"/>
    <w:multiLevelType w:val="multilevel"/>
    <w:tmpl w:val="CBBA4710"/>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6714C20"/>
    <w:multiLevelType w:val="hybridMultilevel"/>
    <w:tmpl w:val="2C40F7E6"/>
    <w:lvl w:ilvl="0" w:tplc="0809000F">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4C4213"/>
    <w:multiLevelType w:val="multilevel"/>
    <w:tmpl w:val="014C1B0E"/>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20C16BE"/>
    <w:multiLevelType w:val="hybridMultilevel"/>
    <w:tmpl w:val="6D220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32FB0"/>
    <w:multiLevelType w:val="hybridMultilevel"/>
    <w:tmpl w:val="50E4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840759"/>
    <w:multiLevelType w:val="hybridMultilevel"/>
    <w:tmpl w:val="32344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275179"/>
    <w:multiLevelType w:val="hybridMultilevel"/>
    <w:tmpl w:val="F78E90DE"/>
    <w:lvl w:ilvl="0" w:tplc="2726243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8448E1"/>
    <w:multiLevelType w:val="hybridMultilevel"/>
    <w:tmpl w:val="F1D625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1050E6"/>
    <w:multiLevelType w:val="multilevel"/>
    <w:tmpl w:val="ADB0B99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C44EE3"/>
    <w:multiLevelType w:val="hybridMultilevel"/>
    <w:tmpl w:val="52D08A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AC94730"/>
    <w:multiLevelType w:val="hybridMultilevel"/>
    <w:tmpl w:val="F67CA1BA"/>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BE56664"/>
    <w:multiLevelType w:val="hybridMultilevel"/>
    <w:tmpl w:val="3FA88CA4"/>
    <w:lvl w:ilvl="0" w:tplc="D98ECC84">
      <w:start w:val="15"/>
      <w:numFmt w:val="decimal"/>
      <w:lvlText w:val="%1."/>
      <w:lvlJc w:val="left"/>
      <w:pPr>
        <w:ind w:left="720" w:hanging="360"/>
      </w:pPr>
      <w:rPr>
        <w:rFonts w:cstheme="minorHAnsi" w:hint="default"/>
        <w:b/>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8133011">
    <w:abstractNumId w:val="16"/>
  </w:num>
  <w:num w:numId="2" w16cid:durableId="1076167720">
    <w:abstractNumId w:val="8"/>
  </w:num>
  <w:num w:numId="3" w16cid:durableId="1507207156">
    <w:abstractNumId w:val="5"/>
  </w:num>
  <w:num w:numId="4" w16cid:durableId="1314024201">
    <w:abstractNumId w:val="3"/>
  </w:num>
  <w:num w:numId="5" w16cid:durableId="1321739675">
    <w:abstractNumId w:val="0"/>
  </w:num>
  <w:num w:numId="6" w16cid:durableId="371349991">
    <w:abstractNumId w:val="13"/>
  </w:num>
  <w:num w:numId="7" w16cid:durableId="1418596118">
    <w:abstractNumId w:val="2"/>
  </w:num>
  <w:num w:numId="8" w16cid:durableId="405418804">
    <w:abstractNumId w:val="6"/>
  </w:num>
  <w:num w:numId="9" w16cid:durableId="965815953">
    <w:abstractNumId w:val="1"/>
  </w:num>
  <w:num w:numId="10" w16cid:durableId="1807039294">
    <w:abstractNumId w:val="12"/>
  </w:num>
  <w:num w:numId="11" w16cid:durableId="2002654870">
    <w:abstractNumId w:val="7"/>
  </w:num>
  <w:num w:numId="12" w16cid:durableId="142435162">
    <w:abstractNumId w:val="14"/>
  </w:num>
  <w:num w:numId="13" w16cid:durableId="1490057908">
    <w:abstractNumId w:val="11"/>
  </w:num>
  <w:num w:numId="14" w16cid:durableId="1208293675">
    <w:abstractNumId w:val="15"/>
  </w:num>
  <w:num w:numId="15" w16cid:durableId="1870143492">
    <w:abstractNumId w:val="18"/>
  </w:num>
  <w:num w:numId="16" w16cid:durableId="671920">
    <w:abstractNumId w:val="10"/>
  </w:num>
  <w:num w:numId="17" w16cid:durableId="1002662566">
    <w:abstractNumId w:val="10"/>
  </w:num>
  <w:num w:numId="18" w16cid:durableId="1112895237">
    <w:abstractNumId w:val="10"/>
  </w:num>
  <w:num w:numId="19" w16cid:durableId="940376325">
    <w:abstractNumId w:val="10"/>
  </w:num>
  <w:num w:numId="20" w16cid:durableId="596789151">
    <w:abstractNumId w:val="10"/>
  </w:num>
  <w:num w:numId="21" w16cid:durableId="477647043">
    <w:abstractNumId w:val="10"/>
  </w:num>
  <w:num w:numId="22" w16cid:durableId="1294748893">
    <w:abstractNumId w:val="17"/>
  </w:num>
  <w:num w:numId="23" w16cid:durableId="61173170">
    <w:abstractNumId w:val="9"/>
  </w:num>
  <w:num w:numId="24" w16cid:durableId="927234998">
    <w:abstractNumId w:val="4"/>
  </w:num>
  <w:num w:numId="25" w16cid:durableId="62115447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visionView w:inkAnnotations="0"/>
  <w:defaultTabStop w:val="113"/>
  <w:drawingGridHorizontalSpacing w:val="110"/>
  <w:displayHorizontalDrawingGridEvery w:val="2"/>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82"/>
    <w:rsid w:val="00017E58"/>
    <w:rsid w:val="00027B1A"/>
    <w:rsid w:val="000365BB"/>
    <w:rsid w:val="00044185"/>
    <w:rsid w:val="00050A8F"/>
    <w:rsid w:val="00061D2F"/>
    <w:rsid w:val="00065B9F"/>
    <w:rsid w:val="00071B9A"/>
    <w:rsid w:val="000731AB"/>
    <w:rsid w:val="000827EA"/>
    <w:rsid w:val="00083287"/>
    <w:rsid w:val="000967A4"/>
    <w:rsid w:val="000A39DB"/>
    <w:rsid w:val="000B0199"/>
    <w:rsid w:val="000B2596"/>
    <w:rsid w:val="000B375B"/>
    <w:rsid w:val="000B6423"/>
    <w:rsid w:val="000C3E7D"/>
    <w:rsid w:val="000D0244"/>
    <w:rsid w:val="000D5575"/>
    <w:rsid w:val="000D75CA"/>
    <w:rsid w:val="000D7B99"/>
    <w:rsid w:val="000E6C5E"/>
    <w:rsid w:val="000F6870"/>
    <w:rsid w:val="000F73A5"/>
    <w:rsid w:val="00104185"/>
    <w:rsid w:val="0010567C"/>
    <w:rsid w:val="00112249"/>
    <w:rsid w:val="001167E0"/>
    <w:rsid w:val="0013093A"/>
    <w:rsid w:val="0013403D"/>
    <w:rsid w:val="00137D45"/>
    <w:rsid w:val="00161F55"/>
    <w:rsid w:val="001661C3"/>
    <w:rsid w:val="00180865"/>
    <w:rsid w:val="001835B5"/>
    <w:rsid w:val="001D77F0"/>
    <w:rsid w:val="001E3378"/>
    <w:rsid w:val="001E690C"/>
    <w:rsid w:val="001F7864"/>
    <w:rsid w:val="002119A3"/>
    <w:rsid w:val="00214407"/>
    <w:rsid w:val="00214C63"/>
    <w:rsid w:val="00215534"/>
    <w:rsid w:val="002172FF"/>
    <w:rsid w:val="00224AC4"/>
    <w:rsid w:val="0023120C"/>
    <w:rsid w:val="00235518"/>
    <w:rsid w:val="0024499A"/>
    <w:rsid w:val="002631E7"/>
    <w:rsid w:val="00285BBB"/>
    <w:rsid w:val="002B04E7"/>
    <w:rsid w:val="002B5E4E"/>
    <w:rsid w:val="002C0CD4"/>
    <w:rsid w:val="002D06E6"/>
    <w:rsid w:val="002D2542"/>
    <w:rsid w:val="002E6DA6"/>
    <w:rsid w:val="00303279"/>
    <w:rsid w:val="0032666D"/>
    <w:rsid w:val="00332D77"/>
    <w:rsid w:val="003468D7"/>
    <w:rsid w:val="0035776A"/>
    <w:rsid w:val="003A219A"/>
    <w:rsid w:val="003A2AF7"/>
    <w:rsid w:val="003A6DE9"/>
    <w:rsid w:val="003C1E61"/>
    <w:rsid w:val="003E33B2"/>
    <w:rsid w:val="003E4FB0"/>
    <w:rsid w:val="003E79F4"/>
    <w:rsid w:val="004006B3"/>
    <w:rsid w:val="00401956"/>
    <w:rsid w:val="0042023D"/>
    <w:rsid w:val="00423DB5"/>
    <w:rsid w:val="0043534C"/>
    <w:rsid w:val="00452C65"/>
    <w:rsid w:val="00481F9C"/>
    <w:rsid w:val="004843F8"/>
    <w:rsid w:val="004A6FDE"/>
    <w:rsid w:val="004C1E33"/>
    <w:rsid w:val="004D2EF0"/>
    <w:rsid w:val="005248D8"/>
    <w:rsid w:val="00535C19"/>
    <w:rsid w:val="00537D3B"/>
    <w:rsid w:val="00537E71"/>
    <w:rsid w:val="00541CF5"/>
    <w:rsid w:val="00547018"/>
    <w:rsid w:val="00567624"/>
    <w:rsid w:val="00575C07"/>
    <w:rsid w:val="00587BE1"/>
    <w:rsid w:val="00591277"/>
    <w:rsid w:val="00594835"/>
    <w:rsid w:val="005A3370"/>
    <w:rsid w:val="005D454D"/>
    <w:rsid w:val="005E0DB5"/>
    <w:rsid w:val="006000B9"/>
    <w:rsid w:val="00602020"/>
    <w:rsid w:val="0061346B"/>
    <w:rsid w:val="006161C5"/>
    <w:rsid w:val="00621BEA"/>
    <w:rsid w:val="006227EF"/>
    <w:rsid w:val="00623F4E"/>
    <w:rsid w:val="00650208"/>
    <w:rsid w:val="00661AAC"/>
    <w:rsid w:val="0066277A"/>
    <w:rsid w:val="006725E7"/>
    <w:rsid w:val="00677AA1"/>
    <w:rsid w:val="00683533"/>
    <w:rsid w:val="006D4393"/>
    <w:rsid w:val="00700DD9"/>
    <w:rsid w:val="00715D36"/>
    <w:rsid w:val="00725E4E"/>
    <w:rsid w:val="00737BAE"/>
    <w:rsid w:val="0076725B"/>
    <w:rsid w:val="00793FBC"/>
    <w:rsid w:val="007A049E"/>
    <w:rsid w:val="007A4FCF"/>
    <w:rsid w:val="007D01A1"/>
    <w:rsid w:val="007E005F"/>
    <w:rsid w:val="007E0457"/>
    <w:rsid w:val="008232F5"/>
    <w:rsid w:val="008423A1"/>
    <w:rsid w:val="008474AB"/>
    <w:rsid w:val="008625C2"/>
    <w:rsid w:val="00862D3E"/>
    <w:rsid w:val="0087051A"/>
    <w:rsid w:val="0088064D"/>
    <w:rsid w:val="0088207E"/>
    <w:rsid w:val="00886698"/>
    <w:rsid w:val="00891E90"/>
    <w:rsid w:val="008A429D"/>
    <w:rsid w:val="008A4F4B"/>
    <w:rsid w:val="008B26C8"/>
    <w:rsid w:val="008B6C84"/>
    <w:rsid w:val="008E0A17"/>
    <w:rsid w:val="008E64A2"/>
    <w:rsid w:val="00922ABC"/>
    <w:rsid w:val="00925B79"/>
    <w:rsid w:val="009330D3"/>
    <w:rsid w:val="00951D17"/>
    <w:rsid w:val="00967083"/>
    <w:rsid w:val="00971CFA"/>
    <w:rsid w:val="00972FD5"/>
    <w:rsid w:val="00987F29"/>
    <w:rsid w:val="00990E34"/>
    <w:rsid w:val="00995C4D"/>
    <w:rsid w:val="009A303F"/>
    <w:rsid w:val="009A7F1D"/>
    <w:rsid w:val="009B3E8A"/>
    <w:rsid w:val="009B4832"/>
    <w:rsid w:val="009C59FF"/>
    <w:rsid w:val="009E0915"/>
    <w:rsid w:val="009E559E"/>
    <w:rsid w:val="00A03B52"/>
    <w:rsid w:val="00A17086"/>
    <w:rsid w:val="00A219A4"/>
    <w:rsid w:val="00A27EAD"/>
    <w:rsid w:val="00A376D4"/>
    <w:rsid w:val="00A52711"/>
    <w:rsid w:val="00A5727A"/>
    <w:rsid w:val="00A578ED"/>
    <w:rsid w:val="00A6181E"/>
    <w:rsid w:val="00A82EAC"/>
    <w:rsid w:val="00A84F1E"/>
    <w:rsid w:val="00A90A0F"/>
    <w:rsid w:val="00A90BF2"/>
    <w:rsid w:val="00A91991"/>
    <w:rsid w:val="00A9516F"/>
    <w:rsid w:val="00AA2D0F"/>
    <w:rsid w:val="00AB3D26"/>
    <w:rsid w:val="00AD0C17"/>
    <w:rsid w:val="00AD5D6A"/>
    <w:rsid w:val="00AE2511"/>
    <w:rsid w:val="00AF0D21"/>
    <w:rsid w:val="00B17F8A"/>
    <w:rsid w:val="00B21D3A"/>
    <w:rsid w:val="00B23D78"/>
    <w:rsid w:val="00B26D3B"/>
    <w:rsid w:val="00B56479"/>
    <w:rsid w:val="00B63942"/>
    <w:rsid w:val="00B71103"/>
    <w:rsid w:val="00B976C1"/>
    <w:rsid w:val="00B97E1F"/>
    <w:rsid w:val="00BA4678"/>
    <w:rsid w:val="00BF47AB"/>
    <w:rsid w:val="00BF701F"/>
    <w:rsid w:val="00C14BC5"/>
    <w:rsid w:val="00C365B1"/>
    <w:rsid w:val="00C45B50"/>
    <w:rsid w:val="00C4710F"/>
    <w:rsid w:val="00C518FD"/>
    <w:rsid w:val="00C56F72"/>
    <w:rsid w:val="00C63A1E"/>
    <w:rsid w:val="00C677E8"/>
    <w:rsid w:val="00C738DD"/>
    <w:rsid w:val="00C923D1"/>
    <w:rsid w:val="00C92664"/>
    <w:rsid w:val="00CB67A2"/>
    <w:rsid w:val="00CC096C"/>
    <w:rsid w:val="00CC3565"/>
    <w:rsid w:val="00CD6AB2"/>
    <w:rsid w:val="00CD6F01"/>
    <w:rsid w:val="00CF4BFC"/>
    <w:rsid w:val="00D21FC8"/>
    <w:rsid w:val="00D41F88"/>
    <w:rsid w:val="00D4486E"/>
    <w:rsid w:val="00D47078"/>
    <w:rsid w:val="00D621F4"/>
    <w:rsid w:val="00D71CD0"/>
    <w:rsid w:val="00D7216E"/>
    <w:rsid w:val="00D76D45"/>
    <w:rsid w:val="00D81B56"/>
    <w:rsid w:val="00D8625D"/>
    <w:rsid w:val="00D93E44"/>
    <w:rsid w:val="00D97282"/>
    <w:rsid w:val="00DA6115"/>
    <w:rsid w:val="00DB107E"/>
    <w:rsid w:val="00DB25D3"/>
    <w:rsid w:val="00DD0895"/>
    <w:rsid w:val="00DF031E"/>
    <w:rsid w:val="00E03F36"/>
    <w:rsid w:val="00E173BB"/>
    <w:rsid w:val="00E23C1F"/>
    <w:rsid w:val="00E41AA5"/>
    <w:rsid w:val="00E64808"/>
    <w:rsid w:val="00E740E2"/>
    <w:rsid w:val="00E7717F"/>
    <w:rsid w:val="00E85D6C"/>
    <w:rsid w:val="00EA0214"/>
    <w:rsid w:val="00EA03AE"/>
    <w:rsid w:val="00EB392B"/>
    <w:rsid w:val="00EE4B6E"/>
    <w:rsid w:val="00EF5DB8"/>
    <w:rsid w:val="00EF76D2"/>
    <w:rsid w:val="00F05439"/>
    <w:rsid w:val="00F1103C"/>
    <w:rsid w:val="00F150D8"/>
    <w:rsid w:val="00F1682F"/>
    <w:rsid w:val="00F30287"/>
    <w:rsid w:val="00F3508D"/>
    <w:rsid w:val="00F4161F"/>
    <w:rsid w:val="00F4224A"/>
    <w:rsid w:val="00F501E1"/>
    <w:rsid w:val="00F54B42"/>
    <w:rsid w:val="00F64818"/>
    <w:rsid w:val="00F743F4"/>
    <w:rsid w:val="00F843CE"/>
    <w:rsid w:val="00FA1C2E"/>
    <w:rsid w:val="00FD2880"/>
    <w:rsid w:val="00FD6362"/>
    <w:rsid w:val="00FD70F6"/>
    <w:rsid w:val="00FE391C"/>
    <w:rsid w:val="00FE56AA"/>
    <w:rsid w:val="00FF03A1"/>
    <w:rsid w:val="00FF1054"/>
    <w:rsid w:val="00FF55AD"/>
    <w:rsid w:val="43CC5020"/>
    <w:rsid w:val="442910E5"/>
    <w:rsid w:val="65F74FF8"/>
    <w:rsid w:val="6DBBF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7C590"/>
  <w15:docId w15:val="{F67DF8E2-BF4E-41FA-86A2-CBCCA32D8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CD4"/>
    <w:pPr>
      <w:spacing w:after="0" w:line="240" w:lineRule="auto"/>
    </w:pPr>
    <w:rPr>
      <w:rFonts w:ascii="Arial" w:eastAsia="Times New Roman" w:hAnsi="Arial" w:cs="Times New Roman"/>
    </w:rPr>
  </w:style>
  <w:style w:type="paragraph" w:styleId="Heading1">
    <w:name w:val="heading 1"/>
    <w:basedOn w:val="ListParagraph"/>
    <w:next w:val="Normal"/>
    <w:link w:val="Heading1Char"/>
    <w:uiPriority w:val="9"/>
    <w:qFormat/>
    <w:rsid w:val="0088207E"/>
    <w:pPr>
      <w:numPr>
        <w:numId w:val="16"/>
      </w:numPr>
      <w:overflowPunct w:val="0"/>
      <w:autoSpaceDE w:val="0"/>
      <w:autoSpaceDN w:val="0"/>
      <w:adjustRightInd w:val="0"/>
      <w:spacing w:before="120" w:after="120"/>
      <w:jc w:val="both"/>
      <w:textAlignment w:val="baseline"/>
      <w:outlineLvl w:val="0"/>
    </w:pPr>
    <w:rPr>
      <w:rFonts w:asciiTheme="minorHAnsi" w:hAnsiTheme="minorHAnsi" w:cs="Tahoma"/>
      <w:b/>
    </w:rPr>
  </w:style>
  <w:style w:type="paragraph" w:styleId="Heading2">
    <w:name w:val="heading 2"/>
    <w:basedOn w:val="Normal"/>
    <w:next w:val="Normal"/>
    <w:link w:val="Heading2Char"/>
    <w:uiPriority w:val="9"/>
    <w:semiHidden/>
    <w:unhideWhenUsed/>
    <w:qFormat/>
    <w:rsid w:val="002D06E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0365B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uiPriority w:val="9"/>
    <w:semiHidden/>
    <w:unhideWhenUsed/>
    <w:qFormat/>
    <w:rsid w:val="00E23C1F"/>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qFormat/>
    <w:rsid w:val="002C0CD4"/>
    <w:pPr>
      <w:keepNext/>
      <w:jc w:val="both"/>
      <w:outlineLvl w:val="6"/>
    </w:pPr>
    <w:rPr>
      <w:b/>
      <w:color w:val="000000"/>
      <w:sz w:val="28"/>
      <w:szCs w:val="20"/>
    </w:rPr>
  </w:style>
  <w:style w:type="paragraph" w:styleId="Heading9">
    <w:name w:val="heading 9"/>
    <w:basedOn w:val="Normal"/>
    <w:next w:val="Normal"/>
    <w:link w:val="Heading9Char"/>
    <w:qFormat/>
    <w:rsid w:val="002C0CD4"/>
    <w:pPr>
      <w:keepNext/>
      <w:outlineLvl w:val="8"/>
    </w:pPr>
    <w:rPr>
      <w:rFonts w:ascii="Verdana" w:hAnsi="Verdana"/>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282"/>
    <w:pPr>
      <w:tabs>
        <w:tab w:val="center" w:pos="4513"/>
        <w:tab w:val="right" w:pos="9026"/>
      </w:tabs>
    </w:pPr>
  </w:style>
  <w:style w:type="character" w:customStyle="1" w:styleId="HeaderChar">
    <w:name w:val="Header Char"/>
    <w:basedOn w:val="DefaultParagraphFont"/>
    <w:link w:val="Header"/>
    <w:uiPriority w:val="99"/>
    <w:rsid w:val="00D97282"/>
  </w:style>
  <w:style w:type="paragraph" w:styleId="Footer">
    <w:name w:val="footer"/>
    <w:basedOn w:val="Normal"/>
    <w:link w:val="FooterChar"/>
    <w:uiPriority w:val="99"/>
    <w:unhideWhenUsed/>
    <w:rsid w:val="00D97282"/>
    <w:pPr>
      <w:tabs>
        <w:tab w:val="center" w:pos="4513"/>
        <w:tab w:val="right" w:pos="9026"/>
      </w:tabs>
    </w:pPr>
  </w:style>
  <w:style w:type="character" w:customStyle="1" w:styleId="FooterChar">
    <w:name w:val="Footer Char"/>
    <w:basedOn w:val="DefaultParagraphFont"/>
    <w:link w:val="Footer"/>
    <w:uiPriority w:val="99"/>
    <w:rsid w:val="00D97282"/>
  </w:style>
  <w:style w:type="character" w:customStyle="1" w:styleId="Heading7Char">
    <w:name w:val="Heading 7 Char"/>
    <w:basedOn w:val="DefaultParagraphFont"/>
    <w:link w:val="Heading7"/>
    <w:rsid w:val="002C0CD4"/>
    <w:rPr>
      <w:rFonts w:ascii="Arial" w:eastAsia="Times New Roman" w:hAnsi="Arial" w:cs="Times New Roman"/>
      <w:b/>
      <w:color w:val="000000"/>
      <w:sz w:val="28"/>
      <w:szCs w:val="20"/>
    </w:rPr>
  </w:style>
  <w:style w:type="character" w:customStyle="1" w:styleId="Heading9Char">
    <w:name w:val="Heading 9 Char"/>
    <w:basedOn w:val="DefaultParagraphFont"/>
    <w:link w:val="Heading9"/>
    <w:rsid w:val="002C0CD4"/>
    <w:rPr>
      <w:rFonts w:ascii="Verdana" w:eastAsia="Times New Roman" w:hAnsi="Verdana" w:cs="Times New Roman"/>
      <w:b/>
      <w:bCs/>
      <w:sz w:val="20"/>
      <w:szCs w:val="20"/>
      <w:u w:val="single"/>
    </w:rPr>
  </w:style>
  <w:style w:type="paragraph" w:styleId="BodyTextIndent3">
    <w:name w:val="Body Text Indent 3"/>
    <w:basedOn w:val="Normal"/>
    <w:link w:val="BodyTextIndent3Char"/>
    <w:semiHidden/>
    <w:rsid w:val="002C0CD4"/>
    <w:pPr>
      <w:ind w:left="720"/>
      <w:jc w:val="both"/>
    </w:pPr>
    <w:rPr>
      <w:i/>
      <w:sz w:val="24"/>
      <w:szCs w:val="20"/>
    </w:rPr>
  </w:style>
  <w:style w:type="character" w:customStyle="1" w:styleId="BodyTextIndent3Char">
    <w:name w:val="Body Text Indent 3 Char"/>
    <w:basedOn w:val="DefaultParagraphFont"/>
    <w:link w:val="BodyTextIndent3"/>
    <w:semiHidden/>
    <w:rsid w:val="002C0CD4"/>
    <w:rPr>
      <w:rFonts w:ascii="Arial" w:eastAsia="Times New Roman" w:hAnsi="Arial" w:cs="Times New Roman"/>
      <w:i/>
      <w:sz w:val="24"/>
      <w:szCs w:val="20"/>
    </w:rPr>
  </w:style>
  <w:style w:type="paragraph" w:styleId="BodyText">
    <w:name w:val="Body Text"/>
    <w:basedOn w:val="Normal"/>
    <w:link w:val="BodyTextChar"/>
    <w:uiPriority w:val="99"/>
    <w:unhideWhenUsed/>
    <w:rsid w:val="002C0CD4"/>
    <w:pPr>
      <w:spacing w:after="120"/>
    </w:pPr>
  </w:style>
  <w:style w:type="character" w:customStyle="1" w:styleId="BodyTextChar">
    <w:name w:val="Body Text Char"/>
    <w:basedOn w:val="DefaultParagraphFont"/>
    <w:link w:val="BodyText"/>
    <w:uiPriority w:val="99"/>
    <w:rsid w:val="002C0CD4"/>
    <w:rPr>
      <w:rFonts w:ascii="Arial" w:eastAsia="Times New Roman" w:hAnsi="Arial" w:cs="Times New Roman"/>
    </w:rPr>
  </w:style>
  <w:style w:type="paragraph" w:styleId="BodyText2">
    <w:name w:val="Body Text 2"/>
    <w:basedOn w:val="Normal"/>
    <w:link w:val="BodyText2Char"/>
    <w:uiPriority w:val="99"/>
    <w:unhideWhenUsed/>
    <w:rsid w:val="002C0CD4"/>
    <w:pPr>
      <w:spacing w:after="120" w:line="480" w:lineRule="auto"/>
    </w:pPr>
  </w:style>
  <w:style w:type="character" w:customStyle="1" w:styleId="BodyText2Char">
    <w:name w:val="Body Text 2 Char"/>
    <w:basedOn w:val="DefaultParagraphFont"/>
    <w:link w:val="BodyText2"/>
    <w:uiPriority w:val="99"/>
    <w:rsid w:val="002C0CD4"/>
    <w:rPr>
      <w:rFonts w:ascii="Arial" w:eastAsia="Times New Roman" w:hAnsi="Arial" w:cs="Times New Roman"/>
    </w:rPr>
  </w:style>
  <w:style w:type="paragraph" w:styleId="CommentText">
    <w:name w:val="annotation text"/>
    <w:basedOn w:val="Normal"/>
    <w:link w:val="CommentTextChar"/>
    <w:rsid w:val="002C0CD4"/>
    <w:rPr>
      <w:rFonts w:ascii="Times New Roman" w:hAnsi="Times New Roman"/>
      <w:sz w:val="20"/>
      <w:szCs w:val="20"/>
    </w:rPr>
  </w:style>
  <w:style w:type="character" w:customStyle="1" w:styleId="CommentTextChar">
    <w:name w:val="Comment Text Char"/>
    <w:basedOn w:val="DefaultParagraphFont"/>
    <w:link w:val="CommentText"/>
    <w:rsid w:val="002C0CD4"/>
    <w:rPr>
      <w:rFonts w:ascii="Times New Roman" w:eastAsia="Times New Roman" w:hAnsi="Times New Roman" w:cs="Times New Roman"/>
      <w:sz w:val="20"/>
      <w:szCs w:val="20"/>
    </w:rPr>
  </w:style>
  <w:style w:type="paragraph" w:styleId="Title">
    <w:name w:val="Title"/>
    <w:basedOn w:val="Normal"/>
    <w:link w:val="TitleChar"/>
    <w:qFormat/>
    <w:rsid w:val="002C0CD4"/>
    <w:pPr>
      <w:jc w:val="center"/>
    </w:pPr>
    <w:rPr>
      <w:rFonts w:ascii="Verdana" w:hAnsi="Verdana"/>
      <w:b/>
      <w:sz w:val="20"/>
      <w:szCs w:val="28"/>
      <w:lang w:eastAsia="en-GB"/>
    </w:rPr>
  </w:style>
  <w:style w:type="character" w:customStyle="1" w:styleId="TitleChar">
    <w:name w:val="Title Char"/>
    <w:basedOn w:val="DefaultParagraphFont"/>
    <w:link w:val="Title"/>
    <w:rsid w:val="002C0CD4"/>
    <w:rPr>
      <w:rFonts w:ascii="Verdana" w:eastAsia="Times New Roman" w:hAnsi="Verdana" w:cs="Times New Roman"/>
      <w:b/>
      <w:sz w:val="20"/>
      <w:szCs w:val="28"/>
      <w:lang w:eastAsia="en-GB"/>
    </w:rPr>
  </w:style>
  <w:style w:type="paragraph" w:styleId="ListParagraph">
    <w:name w:val="List Paragraph"/>
    <w:basedOn w:val="Normal"/>
    <w:uiPriority w:val="34"/>
    <w:qFormat/>
    <w:rsid w:val="00137D45"/>
    <w:pPr>
      <w:ind w:left="720"/>
      <w:contextualSpacing/>
    </w:pPr>
  </w:style>
  <w:style w:type="character" w:styleId="Hyperlink">
    <w:name w:val="Hyperlink"/>
    <w:uiPriority w:val="99"/>
    <w:rsid w:val="00137D45"/>
    <w:rPr>
      <w:color w:val="0000FF"/>
      <w:u w:val="single"/>
    </w:rPr>
  </w:style>
  <w:style w:type="character" w:customStyle="1" w:styleId="UnresolvedMention1">
    <w:name w:val="Unresolved Mention1"/>
    <w:basedOn w:val="DefaultParagraphFont"/>
    <w:uiPriority w:val="99"/>
    <w:semiHidden/>
    <w:unhideWhenUsed/>
    <w:rsid w:val="00F843CE"/>
    <w:rPr>
      <w:color w:val="605E5C"/>
      <w:shd w:val="clear" w:color="auto" w:fill="E1DFDD"/>
    </w:rPr>
  </w:style>
  <w:style w:type="character" w:customStyle="1" w:styleId="Heading2Char">
    <w:name w:val="Heading 2 Char"/>
    <w:basedOn w:val="DefaultParagraphFont"/>
    <w:link w:val="Heading2"/>
    <w:uiPriority w:val="9"/>
    <w:semiHidden/>
    <w:rsid w:val="002D06E6"/>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2D06E6"/>
    <w:pPr>
      <w:spacing w:after="0" w:line="240" w:lineRule="auto"/>
    </w:pPr>
    <w:rPr>
      <w:rFonts w:ascii="Arial" w:eastAsia="Times New Roman" w:hAnsi="Arial" w:cs="Times New Roman"/>
    </w:rPr>
  </w:style>
  <w:style w:type="paragraph" w:styleId="EndnoteText">
    <w:name w:val="endnote text"/>
    <w:basedOn w:val="Normal"/>
    <w:link w:val="EndnoteTextChar"/>
    <w:uiPriority w:val="99"/>
    <w:semiHidden/>
    <w:unhideWhenUsed/>
    <w:rsid w:val="002D06E6"/>
    <w:rPr>
      <w:sz w:val="20"/>
      <w:szCs w:val="20"/>
    </w:rPr>
  </w:style>
  <w:style w:type="character" w:customStyle="1" w:styleId="EndnoteTextChar">
    <w:name w:val="Endnote Text Char"/>
    <w:basedOn w:val="DefaultParagraphFont"/>
    <w:link w:val="EndnoteText"/>
    <w:uiPriority w:val="99"/>
    <w:semiHidden/>
    <w:rsid w:val="002D06E6"/>
    <w:rPr>
      <w:rFonts w:ascii="Arial" w:eastAsia="Times New Roman" w:hAnsi="Arial" w:cs="Times New Roman"/>
      <w:sz w:val="20"/>
      <w:szCs w:val="20"/>
    </w:rPr>
  </w:style>
  <w:style w:type="paragraph" w:styleId="FootnoteText">
    <w:name w:val="footnote text"/>
    <w:basedOn w:val="Normal"/>
    <w:link w:val="FootnoteTextChar"/>
    <w:uiPriority w:val="99"/>
    <w:semiHidden/>
    <w:unhideWhenUsed/>
    <w:rsid w:val="002D06E6"/>
    <w:rPr>
      <w:sz w:val="20"/>
      <w:szCs w:val="20"/>
    </w:rPr>
  </w:style>
  <w:style w:type="character" w:customStyle="1" w:styleId="FootnoteTextChar">
    <w:name w:val="Footnote Text Char"/>
    <w:basedOn w:val="DefaultParagraphFont"/>
    <w:link w:val="FootnoteText"/>
    <w:uiPriority w:val="99"/>
    <w:semiHidden/>
    <w:rsid w:val="002D06E6"/>
    <w:rPr>
      <w:rFonts w:ascii="Arial" w:eastAsia="Times New Roman" w:hAnsi="Arial" w:cs="Times New Roman"/>
      <w:sz w:val="20"/>
      <w:szCs w:val="20"/>
    </w:rPr>
  </w:style>
  <w:style w:type="character" w:styleId="PageNumber">
    <w:name w:val="page number"/>
    <w:basedOn w:val="DefaultParagraphFont"/>
    <w:uiPriority w:val="99"/>
    <w:semiHidden/>
    <w:unhideWhenUsed/>
    <w:rsid w:val="002D06E6"/>
  </w:style>
  <w:style w:type="character" w:styleId="FootnoteReference">
    <w:name w:val="footnote reference"/>
    <w:basedOn w:val="DefaultParagraphFont"/>
    <w:uiPriority w:val="99"/>
    <w:semiHidden/>
    <w:unhideWhenUsed/>
    <w:rsid w:val="002D06E6"/>
    <w:rPr>
      <w:vertAlign w:val="superscript"/>
    </w:rPr>
  </w:style>
  <w:style w:type="character" w:styleId="EndnoteReference">
    <w:name w:val="endnote reference"/>
    <w:basedOn w:val="DefaultParagraphFont"/>
    <w:uiPriority w:val="99"/>
    <w:semiHidden/>
    <w:unhideWhenUsed/>
    <w:rsid w:val="002D06E6"/>
    <w:rPr>
      <w:vertAlign w:val="superscript"/>
    </w:rPr>
  </w:style>
  <w:style w:type="paragraph" w:styleId="TOC1">
    <w:name w:val="toc 1"/>
    <w:basedOn w:val="Normal"/>
    <w:next w:val="Normal"/>
    <w:autoRedefine/>
    <w:uiPriority w:val="39"/>
    <w:unhideWhenUsed/>
    <w:rsid w:val="000F73A5"/>
    <w:pPr>
      <w:spacing w:after="100"/>
    </w:pPr>
    <w:rPr>
      <w:rFonts w:asciiTheme="minorHAnsi" w:hAnsiTheme="minorHAnsi"/>
      <w:b/>
    </w:rPr>
  </w:style>
  <w:style w:type="paragraph" w:styleId="TOC2">
    <w:name w:val="toc 2"/>
    <w:basedOn w:val="Normal"/>
    <w:next w:val="Normal"/>
    <w:autoRedefine/>
    <w:uiPriority w:val="39"/>
    <w:semiHidden/>
    <w:unhideWhenUsed/>
    <w:rsid w:val="000F73A5"/>
    <w:pPr>
      <w:spacing w:after="100"/>
      <w:ind w:left="220"/>
    </w:pPr>
    <w:rPr>
      <w:rFonts w:asciiTheme="minorHAnsi" w:hAnsiTheme="minorHAnsi"/>
      <w:sz w:val="20"/>
    </w:rPr>
  </w:style>
  <w:style w:type="character" w:customStyle="1" w:styleId="Heading1Char">
    <w:name w:val="Heading 1 Char"/>
    <w:basedOn w:val="DefaultParagraphFont"/>
    <w:link w:val="Heading1"/>
    <w:uiPriority w:val="9"/>
    <w:rsid w:val="0088207E"/>
    <w:rPr>
      <w:rFonts w:eastAsia="Times New Roman" w:cs="Tahoma"/>
      <w:b/>
    </w:rPr>
  </w:style>
  <w:style w:type="character" w:styleId="CommentReference">
    <w:name w:val="annotation reference"/>
    <w:basedOn w:val="DefaultParagraphFont"/>
    <w:uiPriority w:val="99"/>
    <w:semiHidden/>
    <w:unhideWhenUsed/>
    <w:rsid w:val="000F6870"/>
    <w:rPr>
      <w:sz w:val="16"/>
      <w:szCs w:val="16"/>
    </w:rPr>
  </w:style>
  <w:style w:type="paragraph" w:styleId="CommentSubject">
    <w:name w:val="annotation subject"/>
    <w:basedOn w:val="CommentText"/>
    <w:next w:val="CommentText"/>
    <w:link w:val="CommentSubjectChar"/>
    <w:uiPriority w:val="99"/>
    <w:semiHidden/>
    <w:unhideWhenUsed/>
    <w:rsid w:val="000F6870"/>
    <w:rPr>
      <w:rFonts w:ascii="Arial" w:hAnsi="Arial"/>
      <w:b/>
      <w:bCs/>
    </w:rPr>
  </w:style>
  <w:style w:type="character" w:customStyle="1" w:styleId="CommentSubjectChar">
    <w:name w:val="Comment Subject Char"/>
    <w:basedOn w:val="CommentTextChar"/>
    <w:link w:val="CommentSubject"/>
    <w:uiPriority w:val="99"/>
    <w:semiHidden/>
    <w:rsid w:val="000F6870"/>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0F687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870"/>
    <w:rPr>
      <w:rFonts w:ascii="Segoe UI" w:eastAsia="Times New Roman" w:hAnsi="Segoe UI" w:cs="Segoe UI"/>
      <w:sz w:val="18"/>
      <w:szCs w:val="18"/>
    </w:rPr>
  </w:style>
  <w:style w:type="paragraph" w:styleId="TOCHeading">
    <w:name w:val="TOC Heading"/>
    <w:basedOn w:val="Heading1"/>
    <w:next w:val="Normal"/>
    <w:uiPriority w:val="39"/>
    <w:unhideWhenUsed/>
    <w:qFormat/>
    <w:rsid w:val="00D621F4"/>
    <w:pPr>
      <w:keepNext/>
      <w:keepLines/>
      <w:numPr>
        <w:numId w:val="0"/>
      </w:numPr>
      <w:overflowPunct/>
      <w:autoSpaceDE/>
      <w:autoSpaceDN/>
      <w:adjustRightInd/>
      <w:spacing w:before="240" w:after="0" w:line="259" w:lineRule="auto"/>
      <w:contextualSpacing w:val="0"/>
      <w:jc w:val="left"/>
      <w:textAlignment w:val="auto"/>
      <w:outlineLvl w:val="9"/>
    </w:pPr>
    <w:rPr>
      <w:rFonts w:asciiTheme="majorHAnsi" w:eastAsiaTheme="majorEastAsia" w:hAnsiTheme="majorHAnsi" w:cstheme="majorBidi"/>
      <w:b w:val="0"/>
      <w:color w:val="365F91" w:themeColor="accent1" w:themeShade="BF"/>
      <w:sz w:val="32"/>
      <w:szCs w:val="32"/>
      <w:lang w:val="en-US"/>
    </w:rPr>
  </w:style>
  <w:style w:type="character" w:customStyle="1" w:styleId="Heading3Char">
    <w:name w:val="Heading 3 Char"/>
    <w:basedOn w:val="DefaultParagraphFont"/>
    <w:link w:val="Heading3"/>
    <w:uiPriority w:val="9"/>
    <w:semiHidden/>
    <w:rsid w:val="000365BB"/>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E23C1F"/>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59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usiness.support@npcc.police.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mailto:neil.edgar@pds.police.uk"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pcc.foi.request@npfdu.police.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315e2ac-673d-4066-88a2-b0cd8de6f30b" xsi:nil="true"/>
    <lcf76f155ced4ddcb4097134ff3c332f xmlns="5f369baa-9ff3-476f-86c0-cdccab0cb215">
      <Terms xmlns="http://schemas.microsoft.com/office/infopath/2007/PartnerControls"/>
    </lcf76f155ced4ddcb4097134ff3c332f>
    <SharedWithUsers xmlns="30851dfc-cc18-4487-b13c-e4be0c02663b">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34D7632C6D4904E8D6E9C77A37FA004" ma:contentTypeVersion="14" ma:contentTypeDescription="Create a new document." ma:contentTypeScope="" ma:versionID="e5af688b444512b323d393a86baeeeff">
  <xsd:schema xmlns:xsd="http://www.w3.org/2001/XMLSchema" xmlns:xs="http://www.w3.org/2001/XMLSchema" xmlns:p="http://schemas.microsoft.com/office/2006/metadata/properties" xmlns:ns2="5f369baa-9ff3-476f-86c0-cdccab0cb215" xmlns:ns3="30851dfc-cc18-4487-b13c-e4be0c02663b" xmlns:ns4="4315e2ac-673d-4066-88a2-b0cd8de6f30b" targetNamespace="http://schemas.microsoft.com/office/2006/metadata/properties" ma:root="true" ma:fieldsID="d2254dc76997955ac866f615e4cd5ea5" ns2:_="" ns3:_="" ns4:_="">
    <xsd:import namespace="5f369baa-9ff3-476f-86c0-cdccab0cb215"/>
    <xsd:import namespace="30851dfc-cc18-4487-b13c-e4be0c02663b"/>
    <xsd:import namespace="4315e2ac-673d-4066-88a2-b0cd8de6f3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369baa-9ff3-476f-86c0-cdccab0cb2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5616c7-022e-4f50-b045-a230707f24d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51dfc-cc18-4487-b13c-e4be0c026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15e2ac-673d-4066-88a2-b0cd8de6f30b"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881aba7-7c51-4314-8233-4a89e793f994}" ma:internalName="TaxCatchAll" ma:showField="CatchAllData" ma:web="4315e2ac-673d-4066-88a2-b0cd8de6f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4993E-6973-4365-88BA-A9D3AE0693E9}">
  <ds:schemaRefs>
    <ds:schemaRef ds:uri="http://schemas.openxmlformats.org/officeDocument/2006/bibliography"/>
  </ds:schemaRefs>
</ds:datastoreItem>
</file>

<file path=customXml/itemProps2.xml><?xml version="1.0" encoding="utf-8"?>
<ds:datastoreItem xmlns:ds="http://schemas.openxmlformats.org/officeDocument/2006/customXml" ds:itemID="{9B091162-BCF1-4A5A-956B-3D1F701518B0}">
  <ds:schemaRefs>
    <ds:schemaRef ds:uri="http://schemas.microsoft.com/office/2006/metadata/properties"/>
    <ds:schemaRef ds:uri="http://schemas.microsoft.com/office/infopath/2007/PartnerControls"/>
    <ds:schemaRef ds:uri="4315e2ac-673d-4066-88a2-b0cd8de6f30b"/>
    <ds:schemaRef ds:uri="5f369baa-9ff3-476f-86c0-cdccab0cb215"/>
    <ds:schemaRef ds:uri="30851dfc-cc18-4487-b13c-e4be0c02663b"/>
  </ds:schemaRefs>
</ds:datastoreItem>
</file>

<file path=customXml/itemProps3.xml><?xml version="1.0" encoding="utf-8"?>
<ds:datastoreItem xmlns:ds="http://schemas.openxmlformats.org/officeDocument/2006/customXml" ds:itemID="{6D08711B-A8B8-49C1-9EF3-114C4BC8AEDA}">
  <ds:schemaRefs>
    <ds:schemaRef ds:uri="http://schemas.microsoft.com/sharepoint/v3/contenttype/forms"/>
  </ds:schemaRefs>
</ds:datastoreItem>
</file>

<file path=customXml/itemProps4.xml><?xml version="1.0" encoding="utf-8"?>
<ds:datastoreItem xmlns:ds="http://schemas.openxmlformats.org/officeDocument/2006/customXml" ds:itemID="{FC7F4B49-AC57-4738-BECC-D14394433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369baa-9ff3-476f-86c0-cdccab0cb215"/>
    <ds:schemaRef ds:uri="30851dfc-cc18-4487-b13c-e4be0c02663b"/>
    <ds:schemaRef ds:uri="4315e2ac-673d-4066-88a2-b0cd8de6f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5625</Words>
  <Characters>32063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ACPO</Company>
  <LinksUpToDate>false</LinksUpToDate>
  <CharactersWithSpaces>37613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lukem</dc:creator>
  <cp:lastModifiedBy>Melanie Hampton</cp:lastModifiedBy>
  <cp:revision>1</cp:revision>
  <cp:lastPrinted>2023-08-18T15:49:00Z</cp:lastPrinted>
  <dcterms:created xsi:type="dcterms:W3CDTF">2025-06-13T15:35:00Z</dcterms:created>
  <dcterms:modified xsi:type="dcterms:W3CDTF">2025-06-13T15:35:00Z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0x010100734D7632C6D4904E8D6E9C77A37FA004</vt:lpwstr>
  </property>
  <property fmtid="{D5CDD505-2E9C-101B-9397-08002B2CF9AE}" pid="3" name="Order">
    <vt:r8>100</vt:r8>
  </property>
  <property fmtid="{D5CDD505-2E9C-101B-9397-08002B2CF9AE}" pid="4" name="MSIP_Label_b34ace26-a5ec-40e7-bce9-ae32956a3343_Enabled">
    <vt:lpwstr>true</vt:lpwstr>
  </property>
  <property fmtid="{D5CDD505-2E9C-101B-9397-08002B2CF9AE}" pid="5" name="MSIP_Label_b34ace26-a5ec-40e7-bce9-ae32956a3343_SetDate">
    <vt:lpwstr>2021-08-03T11:19:41Z</vt:lpwstr>
  </property>
  <property fmtid="{D5CDD505-2E9C-101B-9397-08002B2CF9AE}" pid="6" name="MSIP_Label_b34ace26-a5ec-40e7-bce9-ae32956a3343_Method">
    <vt:lpwstr>Privileged</vt:lpwstr>
  </property>
  <property fmtid="{D5CDD505-2E9C-101B-9397-08002B2CF9AE}" pid="7" name="MSIP_Label_b34ace26-a5ec-40e7-bce9-ae32956a3343_Name">
    <vt:lpwstr>b34ace26-a5ec-40e7-bce9-ae32956a3343</vt:lpwstr>
  </property>
  <property fmtid="{D5CDD505-2E9C-101B-9397-08002B2CF9AE}" pid="8" name="MSIP_Label_b34ace26-a5ec-40e7-bce9-ae32956a3343_SiteId">
    <vt:lpwstr>1333559a-439a-4a0a-bdc0-a46cd38882d7</vt:lpwstr>
  </property>
  <property fmtid="{D5CDD505-2E9C-101B-9397-08002B2CF9AE}" pid="9" name="MSIP_Label_b34ace26-a5ec-40e7-bce9-ae32956a3343_ActionId">
    <vt:lpwstr>58da2a4c-f287-48c6-a79a-7e9f2609f403</vt:lpwstr>
  </property>
  <property fmtid="{D5CDD505-2E9C-101B-9397-08002B2CF9AE}" pid="10" name="MSIP_Label_b34ace26-a5ec-40e7-bce9-ae32956a3343_ContentBits">
    <vt:lpwstr>0</vt:lpwstr>
  </property>
  <property fmtid="{D5CDD505-2E9C-101B-9397-08002B2CF9AE}" pid="11" name="MediaServiceImageTags">
    <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