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C127D" w14:textId="77777777" w:rsidR="0084541D" w:rsidRDefault="0084541D" w:rsidP="0084541D">
      <w:pPr>
        <w:spacing w:line="360" w:lineRule="auto"/>
        <w:jc w:val="center"/>
        <w:rPr>
          <w:rFonts w:cstheme="minorHAnsi"/>
          <w:b/>
          <w:bCs/>
          <w:sz w:val="28"/>
          <w:szCs w:val="28"/>
        </w:rPr>
      </w:pPr>
    </w:p>
    <w:p w14:paraId="3BDDF571" w14:textId="06FA6D15" w:rsidR="009619D8" w:rsidRDefault="00514D48" w:rsidP="0084541D">
      <w:pPr>
        <w:spacing w:line="360" w:lineRule="auto"/>
        <w:jc w:val="center"/>
        <w:rPr>
          <w:rFonts w:cstheme="minorHAnsi"/>
          <w:b/>
          <w:bCs/>
          <w:sz w:val="28"/>
          <w:szCs w:val="28"/>
        </w:rPr>
      </w:pPr>
      <w:r w:rsidRPr="0084541D">
        <w:rPr>
          <w:rFonts w:cstheme="minorHAnsi"/>
          <w:b/>
          <w:bCs/>
          <w:sz w:val="28"/>
          <w:szCs w:val="28"/>
        </w:rPr>
        <w:t>JOINT PRINCIPLES FOR REDACTION</w:t>
      </w:r>
    </w:p>
    <w:p w14:paraId="6AEF449C" w14:textId="77777777" w:rsidR="002810EC" w:rsidRDefault="002810EC" w:rsidP="002810EC">
      <w:pPr>
        <w:rPr>
          <w:b/>
        </w:rPr>
      </w:pPr>
    </w:p>
    <w:p w14:paraId="1964B461" w14:textId="78280DE7" w:rsidR="002810EC" w:rsidRPr="000C2393" w:rsidRDefault="002810EC" w:rsidP="002810EC">
      <w:pPr>
        <w:rPr>
          <w:b/>
        </w:rPr>
      </w:pPr>
      <w:r w:rsidRPr="000C2393">
        <w:rPr>
          <w:b/>
        </w:rPr>
        <w:t>This guidance applies equally to both pre and post charge submissions</w:t>
      </w:r>
      <w:r>
        <w:rPr>
          <w:b/>
        </w:rPr>
        <w:t>.</w:t>
      </w:r>
    </w:p>
    <w:p w14:paraId="4D1DB416" w14:textId="77777777" w:rsidR="00AA7666" w:rsidRPr="0084541D" w:rsidRDefault="00AA7666" w:rsidP="0084541D">
      <w:pPr>
        <w:widowControl w:val="0"/>
        <w:spacing w:line="360" w:lineRule="auto"/>
        <w:rPr>
          <w:rFonts w:cstheme="minorHAnsi"/>
        </w:rPr>
      </w:pPr>
      <w:bookmarkStart w:id="0" w:name="_Hlk69300492"/>
    </w:p>
    <w:p w14:paraId="07928723" w14:textId="77777777" w:rsidR="00F1458A" w:rsidRPr="00370E85" w:rsidRDefault="00F1458A" w:rsidP="00370E85">
      <w:pPr>
        <w:pStyle w:val="ListParagraph"/>
        <w:numPr>
          <w:ilvl w:val="0"/>
          <w:numId w:val="15"/>
        </w:numPr>
        <w:spacing w:line="360" w:lineRule="auto"/>
        <w:rPr>
          <w:rFonts w:asciiTheme="minorHAnsi" w:hAnsiTheme="minorHAnsi" w:cstheme="minorHAnsi"/>
        </w:rPr>
      </w:pPr>
      <w:r w:rsidRPr="00370E85">
        <w:rPr>
          <w:rFonts w:asciiTheme="minorHAnsi" w:hAnsiTheme="minorHAnsi" w:cstheme="minorHAnsi"/>
          <w:b/>
          <w:bCs/>
        </w:rPr>
        <w:t xml:space="preserve">Summary of Key Principles </w:t>
      </w:r>
    </w:p>
    <w:p w14:paraId="1B5706B6" w14:textId="77777777" w:rsidR="00BF67B2" w:rsidRPr="0084541D" w:rsidRDefault="00F1458A" w:rsidP="0084541D">
      <w:pPr>
        <w:widowControl w:val="0"/>
        <w:spacing w:line="360" w:lineRule="auto"/>
        <w:rPr>
          <w:rFonts w:cstheme="minorHAnsi"/>
        </w:rPr>
      </w:pPr>
      <w:r w:rsidRPr="0084541D">
        <w:rPr>
          <w:rFonts w:cstheme="minorHAnsi"/>
        </w:rPr>
        <w:t xml:space="preserve">We are </w:t>
      </w:r>
      <w:r w:rsidR="00AA7666" w:rsidRPr="0084541D">
        <w:rPr>
          <w:rFonts w:cstheme="minorHAnsi"/>
        </w:rPr>
        <w:t xml:space="preserve">all </w:t>
      </w:r>
      <w:r w:rsidRPr="0084541D">
        <w:rPr>
          <w:rFonts w:cstheme="minorHAnsi"/>
        </w:rPr>
        <w:t xml:space="preserve">responsible for protecting personal and sensitive </w:t>
      </w:r>
      <w:r w:rsidR="006017BE" w:rsidRPr="0084541D">
        <w:rPr>
          <w:rFonts w:cstheme="minorHAnsi"/>
        </w:rPr>
        <w:t xml:space="preserve">personal </w:t>
      </w:r>
      <w:r w:rsidRPr="0084541D">
        <w:rPr>
          <w:rFonts w:cstheme="minorHAnsi"/>
        </w:rPr>
        <w:t>data disclosed in the course of an investigation or prosecution</w:t>
      </w:r>
      <w:r w:rsidR="006017BE" w:rsidRPr="0084541D">
        <w:rPr>
          <w:rFonts w:cstheme="minorHAnsi"/>
        </w:rPr>
        <w:t xml:space="preserve">.  Personal and sensitive personal data should not be </w:t>
      </w:r>
      <w:r w:rsidR="00BF67B2" w:rsidRPr="0084541D">
        <w:rPr>
          <w:rFonts w:cstheme="minorHAnsi"/>
        </w:rPr>
        <w:t>shared between organisations</w:t>
      </w:r>
      <w:r w:rsidR="006017BE" w:rsidRPr="0084541D">
        <w:rPr>
          <w:rFonts w:cstheme="minorHAnsi"/>
        </w:rPr>
        <w:t xml:space="preserve"> </w:t>
      </w:r>
      <w:r w:rsidRPr="0084541D">
        <w:rPr>
          <w:rFonts w:cstheme="minorHAnsi"/>
        </w:rPr>
        <w:t xml:space="preserve"> unless for a lawful purpose </w:t>
      </w:r>
      <w:r w:rsidR="00BF67B2" w:rsidRPr="0084541D">
        <w:rPr>
          <w:rFonts w:cstheme="minorHAnsi"/>
        </w:rPr>
        <w:t xml:space="preserve">e.g. </w:t>
      </w:r>
      <w:r w:rsidRPr="0084541D">
        <w:rPr>
          <w:rFonts w:cstheme="minorHAnsi"/>
        </w:rPr>
        <w:t>it is relevant to an issue in a case or meets the test for disclosure (either common law or under the Criminal Procedure and Investigations Act 1996</w:t>
      </w:r>
      <w:r w:rsidR="00AA7666" w:rsidRPr="0084541D">
        <w:rPr>
          <w:rFonts w:cstheme="minorHAnsi"/>
        </w:rPr>
        <w:t xml:space="preserve"> (CPIA</w:t>
      </w:r>
      <w:r w:rsidR="00E91CA6" w:rsidRPr="0084541D">
        <w:rPr>
          <w:rFonts w:cstheme="minorHAnsi"/>
        </w:rPr>
        <w:t xml:space="preserve"> 1996</w:t>
      </w:r>
      <w:r w:rsidRPr="0084541D">
        <w:rPr>
          <w:rFonts w:cstheme="minorHAnsi"/>
        </w:rPr>
        <w:t>)</w:t>
      </w:r>
      <w:r w:rsidR="00681F63">
        <w:rPr>
          <w:rFonts w:cstheme="minorHAnsi"/>
        </w:rPr>
        <w:t>)</w:t>
      </w:r>
      <w:r w:rsidRPr="0084541D">
        <w:rPr>
          <w:rFonts w:cstheme="minorHAnsi"/>
        </w:rPr>
        <w:t xml:space="preserve">. </w:t>
      </w:r>
    </w:p>
    <w:p w14:paraId="74A9220C" w14:textId="77777777" w:rsidR="00BF67B2" w:rsidRPr="0084541D" w:rsidRDefault="00BF67B2" w:rsidP="0084541D">
      <w:pPr>
        <w:widowControl w:val="0"/>
        <w:spacing w:line="360" w:lineRule="auto"/>
        <w:rPr>
          <w:rFonts w:cstheme="minorHAnsi"/>
        </w:rPr>
      </w:pPr>
    </w:p>
    <w:p w14:paraId="178C0D77" w14:textId="77777777" w:rsidR="00F1458A" w:rsidRPr="0084541D" w:rsidRDefault="00F1458A" w:rsidP="0084541D">
      <w:pPr>
        <w:widowControl w:val="0"/>
        <w:spacing w:line="360" w:lineRule="auto"/>
        <w:rPr>
          <w:rFonts w:cstheme="minorHAnsi"/>
        </w:rPr>
      </w:pPr>
      <w:r w:rsidRPr="0084541D">
        <w:rPr>
          <w:rFonts w:cstheme="minorHAnsi"/>
        </w:rPr>
        <w:t xml:space="preserve">The unnecessary disclosure of personal data breaches the Data Protection </w:t>
      </w:r>
      <w:r w:rsidR="006017BE" w:rsidRPr="0084541D">
        <w:rPr>
          <w:rFonts w:cstheme="minorHAnsi"/>
        </w:rPr>
        <w:t>A</w:t>
      </w:r>
      <w:r w:rsidRPr="0084541D">
        <w:rPr>
          <w:rFonts w:cstheme="minorHAnsi"/>
        </w:rPr>
        <w:t xml:space="preserve">ct </w:t>
      </w:r>
      <w:r w:rsidR="00262AE3" w:rsidRPr="0084541D">
        <w:rPr>
          <w:rFonts w:cstheme="minorHAnsi"/>
        </w:rPr>
        <w:t>2018</w:t>
      </w:r>
      <w:r w:rsidRPr="0084541D">
        <w:rPr>
          <w:rFonts w:cstheme="minorHAnsi"/>
        </w:rPr>
        <w:t xml:space="preserve"> and can have significant consequences including: </w:t>
      </w:r>
    </w:p>
    <w:p w14:paraId="72ED3F4E" w14:textId="77777777" w:rsidR="00F1458A" w:rsidRPr="0084541D" w:rsidRDefault="00F1458A" w:rsidP="0084541D">
      <w:pPr>
        <w:widowControl w:val="0"/>
        <w:spacing w:line="360" w:lineRule="auto"/>
        <w:rPr>
          <w:rFonts w:cstheme="minorHAnsi"/>
        </w:rPr>
      </w:pPr>
    </w:p>
    <w:p w14:paraId="12A29291" w14:textId="77777777" w:rsidR="00F1458A" w:rsidRPr="0084541D" w:rsidRDefault="0084541D" w:rsidP="0084541D">
      <w:pPr>
        <w:pStyle w:val="ListParagraph"/>
        <w:widowControl w:val="0"/>
        <w:numPr>
          <w:ilvl w:val="0"/>
          <w:numId w:val="6"/>
        </w:numPr>
        <w:spacing w:line="360" w:lineRule="auto"/>
        <w:ind w:left="567" w:hanging="283"/>
        <w:rPr>
          <w:rFonts w:asciiTheme="minorHAnsi" w:hAnsiTheme="minorHAnsi" w:cstheme="minorHAnsi"/>
          <w:sz w:val="22"/>
          <w:szCs w:val="22"/>
        </w:rPr>
      </w:pPr>
      <w:r w:rsidRPr="0084541D">
        <w:rPr>
          <w:rFonts w:asciiTheme="minorHAnsi" w:hAnsiTheme="minorHAnsi" w:cstheme="minorHAnsi"/>
          <w:sz w:val="22"/>
          <w:szCs w:val="22"/>
        </w:rPr>
        <w:t>F</w:t>
      </w:r>
      <w:r w:rsidR="00F1458A" w:rsidRPr="0084541D">
        <w:rPr>
          <w:rFonts w:asciiTheme="minorHAnsi" w:hAnsiTheme="minorHAnsi" w:cstheme="minorHAnsi"/>
          <w:sz w:val="22"/>
          <w:szCs w:val="22"/>
        </w:rPr>
        <w:t xml:space="preserve">or victims; witnesses or individuals the data relates to by causing them embarrassment; or placing them at risk of intimidation, assault or in the most serious cases death; </w:t>
      </w:r>
    </w:p>
    <w:p w14:paraId="01DD88A4" w14:textId="77777777" w:rsidR="00F1458A" w:rsidRPr="0084541D" w:rsidRDefault="00F1458A" w:rsidP="0084541D">
      <w:pPr>
        <w:pStyle w:val="ListParagraph"/>
        <w:numPr>
          <w:ilvl w:val="0"/>
          <w:numId w:val="6"/>
        </w:numPr>
        <w:spacing w:line="360" w:lineRule="auto"/>
        <w:ind w:left="567" w:hanging="283"/>
        <w:rPr>
          <w:rFonts w:asciiTheme="minorHAnsi" w:hAnsiTheme="minorHAnsi" w:cstheme="minorHAnsi"/>
          <w:sz w:val="22"/>
          <w:szCs w:val="22"/>
        </w:rPr>
      </w:pPr>
      <w:r w:rsidRPr="0084541D">
        <w:rPr>
          <w:rFonts w:asciiTheme="minorHAnsi" w:hAnsiTheme="minorHAnsi" w:cstheme="minorHAnsi"/>
          <w:sz w:val="22"/>
          <w:szCs w:val="22"/>
        </w:rPr>
        <w:t>Reducing confidence in the Criminal Justice System;</w:t>
      </w:r>
    </w:p>
    <w:p w14:paraId="2ACFA564" w14:textId="77777777" w:rsidR="00F1458A" w:rsidRPr="0084541D" w:rsidRDefault="00F1458A" w:rsidP="0084541D">
      <w:pPr>
        <w:pStyle w:val="ListParagraph"/>
        <w:numPr>
          <w:ilvl w:val="0"/>
          <w:numId w:val="6"/>
        </w:numPr>
        <w:spacing w:line="360" w:lineRule="auto"/>
        <w:ind w:left="567" w:hanging="283"/>
        <w:rPr>
          <w:rFonts w:asciiTheme="minorHAnsi" w:hAnsiTheme="minorHAnsi" w:cstheme="minorHAnsi"/>
          <w:sz w:val="22"/>
          <w:szCs w:val="22"/>
        </w:rPr>
      </w:pPr>
      <w:r w:rsidRPr="0084541D">
        <w:rPr>
          <w:rFonts w:asciiTheme="minorHAnsi" w:hAnsiTheme="minorHAnsi" w:cstheme="minorHAnsi"/>
          <w:sz w:val="22"/>
          <w:szCs w:val="22"/>
        </w:rPr>
        <w:t xml:space="preserve">Reducing the likelihood that victims and witnesses will report incidents to the </w:t>
      </w:r>
      <w:r w:rsidR="00370E85">
        <w:rPr>
          <w:rFonts w:asciiTheme="minorHAnsi" w:hAnsiTheme="minorHAnsi" w:cstheme="minorHAnsi"/>
          <w:sz w:val="22"/>
          <w:szCs w:val="22"/>
        </w:rPr>
        <w:t>Police</w:t>
      </w:r>
      <w:r w:rsidRPr="0084541D">
        <w:rPr>
          <w:rFonts w:asciiTheme="minorHAnsi" w:hAnsiTheme="minorHAnsi" w:cstheme="minorHAnsi"/>
          <w:sz w:val="22"/>
          <w:szCs w:val="22"/>
        </w:rPr>
        <w:t xml:space="preserve"> and co-operate with a prosecution; </w:t>
      </w:r>
    </w:p>
    <w:p w14:paraId="7B08AE71" w14:textId="77777777" w:rsidR="00F1458A" w:rsidRPr="0084541D" w:rsidRDefault="00F1458A" w:rsidP="0084541D">
      <w:pPr>
        <w:pStyle w:val="ListParagraph"/>
        <w:numPr>
          <w:ilvl w:val="0"/>
          <w:numId w:val="6"/>
        </w:numPr>
        <w:spacing w:line="360" w:lineRule="auto"/>
        <w:ind w:left="567" w:hanging="283"/>
        <w:rPr>
          <w:rFonts w:asciiTheme="minorHAnsi" w:hAnsiTheme="minorHAnsi" w:cstheme="minorHAnsi"/>
          <w:sz w:val="22"/>
          <w:szCs w:val="22"/>
        </w:rPr>
      </w:pPr>
      <w:r w:rsidRPr="0084541D">
        <w:rPr>
          <w:rFonts w:asciiTheme="minorHAnsi" w:hAnsiTheme="minorHAnsi" w:cstheme="minorHAnsi"/>
          <w:sz w:val="22"/>
          <w:szCs w:val="22"/>
        </w:rPr>
        <w:t>Having a detrimental impact on case outcomes;</w:t>
      </w:r>
    </w:p>
    <w:p w14:paraId="17190FFA" w14:textId="77777777" w:rsidR="00F1458A" w:rsidRPr="0084541D" w:rsidRDefault="00F1458A" w:rsidP="0084541D">
      <w:pPr>
        <w:pStyle w:val="ms-rtefontface-5"/>
        <w:numPr>
          <w:ilvl w:val="0"/>
          <w:numId w:val="6"/>
        </w:numPr>
        <w:spacing w:line="360" w:lineRule="auto"/>
        <w:ind w:left="567" w:hanging="283"/>
        <w:rPr>
          <w:rFonts w:asciiTheme="minorHAnsi" w:hAnsiTheme="minorHAnsi" w:cstheme="minorHAnsi"/>
          <w:sz w:val="22"/>
          <w:szCs w:val="22"/>
        </w:rPr>
      </w:pPr>
      <w:r w:rsidRPr="0084541D">
        <w:rPr>
          <w:rFonts w:asciiTheme="minorHAnsi" w:hAnsiTheme="minorHAnsi" w:cstheme="minorHAnsi"/>
          <w:sz w:val="22"/>
          <w:szCs w:val="22"/>
        </w:rPr>
        <w:t>Causing reputational damage to the CPS</w:t>
      </w:r>
      <w:r w:rsidR="00BF67B2" w:rsidRPr="0084541D">
        <w:rPr>
          <w:rFonts w:asciiTheme="minorHAnsi" w:hAnsiTheme="minorHAnsi" w:cstheme="minorHAnsi"/>
          <w:sz w:val="22"/>
          <w:szCs w:val="22"/>
        </w:rPr>
        <w:t xml:space="preserve">; </w:t>
      </w:r>
      <w:r w:rsidR="00370E85">
        <w:rPr>
          <w:rFonts w:asciiTheme="minorHAnsi" w:hAnsiTheme="minorHAnsi" w:cstheme="minorHAnsi"/>
          <w:sz w:val="22"/>
          <w:szCs w:val="22"/>
        </w:rPr>
        <w:t>Police</w:t>
      </w:r>
      <w:r w:rsidRPr="0084541D">
        <w:rPr>
          <w:rFonts w:asciiTheme="minorHAnsi" w:hAnsiTheme="minorHAnsi" w:cstheme="minorHAnsi"/>
          <w:sz w:val="22"/>
          <w:szCs w:val="22"/>
        </w:rPr>
        <w:t xml:space="preserve"> and the wider Criminal Justice System;</w:t>
      </w:r>
    </w:p>
    <w:p w14:paraId="3786A517" w14:textId="77777777" w:rsidR="00F1458A" w:rsidRPr="0084541D" w:rsidRDefault="00F1458A" w:rsidP="0084541D">
      <w:pPr>
        <w:pStyle w:val="ms-rtefontface-5"/>
        <w:numPr>
          <w:ilvl w:val="0"/>
          <w:numId w:val="6"/>
        </w:numPr>
        <w:spacing w:line="360" w:lineRule="auto"/>
        <w:ind w:left="567" w:hanging="283"/>
        <w:rPr>
          <w:rFonts w:asciiTheme="minorHAnsi" w:hAnsiTheme="minorHAnsi" w:cstheme="minorHAnsi"/>
          <w:sz w:val="22"/>
          <w:szCs w:val="22"/>
        </w:rPr>
      </w:pPr>
      <w:r w:rsidRPr="0084541D">
        <w:rPr>
          <w:rFonts w:asciiTheme="minorHAnsi" w:hAnsiTheme="minorHAnsi" w:cstheme="minorHAnsi"/>
          <w:sz w:val="22"/>
          <w:szCs w:val="22"/>
        </w:rPr>
        <w:t>Having a financial impact on the CPS</w:t>
      </w:r>
      <w:r w:rsidR="00BF67B2" w:rsidRPr="0084541D">
        <w:rPr>
          <w:rFonts w:asciiTheme="minorHAnsi" w:hAnsiTheme="minorHAnsi" w:cstheme="minorHAnsi"/>
          <w:sz w:val="22"/>
          <w:szCs w:val="22"/>
        </w:rPr>
        <w:t xml:space="preserve"> and </w:t>
      </w:r>
      <w:r w:rsidR="00370E85">
        <w:rPr>
          <w:rFonts w:asciiTheme="minorHAnsi" w:hAnsiTheme="minorHAnsi" w:cstheme="minorHAnsi"/>
          <w:sz w:val="22"/>
          <w:szCs w:val="22"/>
        </w:rPr>
        <w:t>Police</w:t>
      </w:r>
      <w:r w:rsidR="00BF67B2" w:rsidRPr="0084541D">
        <w:rPr>
          <w:rFonts w:asciiTheme="minorHAnsi" w:hAnsiTheme="minorHAnsi" w:cstheme="minorHAnsi"/>
          <w:sz w:val="22"/>
          <w:szCs w:val="22"/>
        </w:rPr>
        <w:t xml:space="preserve"> </w:t>
      </w:r>
      <w:r w:rsidRPr="0084541D">
        <w:rPr>
          <w:rFonts w:asciiTheme="minorHAnsi" w:hAnsiTheme="minorHAnsi" w:cstheme="minorHAnsi"/>
          <w:sz w:val="22"/>
          <w:szCs w:val="22"/>
        </w:rPr>
        <w:t>through fines imposed by the Information Commissioner.</w:t>
      </w:r>
    </w:p>
    <w:p w14:paraId="437830D5" w14:textId="77777777" w:rsidR="00370E85" w:rsidRDefault="00370E85" w:rsidP="0084541D">
      <w:pPr>
        <w:spacing w:line="360" w:lineRule="auto"/>
        <w:rPr>
          <w:rFonts w:cstheme="minorHAnsi"/>
        </w:rPr>
      </w:pPr>
    </w:p>
    <w:p w14:paraId="74F62E2C" w14:textId="77777777" w:rsidR="00F1458A" w:rsidRPr="0084541D" w:rsidRDefault="00F1458A" w:rsidP="0084541D">
      <w:pPr>
        <w:spacing w:line="360" w:lineRule="auto"/>
        <w:rPr>
          <w:rFonts w:cstheme="minorHAnsi"/>
        </w:rPr>
      </w:pPr>
      <w:r w:rsidRPr="0084541D">
        <w:rPr>
          <w:rFonts w:cstheme="minorHAnsi"/>
        </w:rPr>
        <w:t>We can protect personal and sensitive data by redacting it from material</w:t>
      </w:r>
      <w:r w:rsidR="00AA7666" w:rsidRPr="0084541D">
        <w:rPr>
          <w:rFonts w:cstheme="minorHAnsi"/>
        </w:rPr>
        <w:t xml:space="preserve"> and information</w:t>
      </w:r>
      <w:r w:rsidR="00BF67B2" w:rsidRPr="0084541D">
        <w:rPr>
          <w:rFonts w:cstheme="minorHAnsi"/>
        </w:rPr>
        <w:t xml:space="preserve"> we share</w:t>
      </w:r>
      <w:r w:rsidRPr="0084541D">
        <w:rPr>
          <w:rFonts w:cstheme="minorHAnsi"/>
        </w:rPr>
        <w:t>.</w:t>
      </w:r>
    </w:p>
    <w:p w14:paraId="2356432D" w14:textId="77777777" w:rsidR="00F1458A" w:rsidRPr="0084541D" w:rsidRDefault="00F1458A" w:rsidP="0084541D">
      <w:pPr>
        <w:pStyle w:val="ListParagraph"/>
        <w:numPr>
          <w:ilvl w:val="0"/>
          <w:numId w:val="7"/>
        </w:numPr>
        <w:spacing w:line="360" w:lineRule="auto"/>
        <w:ind w:left="567" w:hanging="283"/>
        <w:rPr>
          <w:rFonts w:asciiTheme="minorHAnsi" w:hAnsiTheme="minorHAnsi" w:cstheme="minorHAnsi"/>
          <w:sz w:val="22"/>
          <w:szCs w:val="22"/>
        </w:rPr>
      </w:pPr>
      <w:r w:rsidRPr="0084541D">
        <w:rPr>
          <w:rFonts w:asciiTheme="minorHAnsi" w:hAnsiTheme="minorHAnsi" w:cstheme="minorHAnsi"/>
          <w:sz w:val="22"/>
          <w:szCs w:val="22"/>
        </w:rPr>
        <w:t xml:space="preserve">The </w:t>
      </w:r>
      <w:r w:rsidR="00370E85">
        <w:rPr>
          <w:rFonts w:asciiTheme="minorHAnsi" w:hAnsiTheme="minorHAnsi" w:cstheme="minorHAnsi"/>
          <w:sz w:val="22"/>
          <w:szCs w:val="22"/>
        </w:rPr>
        <w:t>Police</w:t>
      </w:r>
      <w:r w:rsidRPr="0084541D">
        <w:rPr>
          <w:rFonts w:asciiTheme="minorHAnsi" w:hAnsiTheme="minorHAnsi" w:cstheme="minorHAnsi"/>
          <w:sz w:val="22"/>
          <w:szCs w:val="22"/>
        </w:rPr>
        <w:t xml:space="preserve"> are responsible for redacting personal and sensitive </w:t>
      </w:r>
      <w:r w:rsidR="006017BE" w:rsidRPr="0084541D">
        <w:rPr>
          <w:rFonts w:asciiTheme="minorHAnsi" w:hAnsiTheme="minorHAnsi" w:cstheme="minorHAnsi"/>
          <w:sz w:val="22"/>
          <w:szCs w:val="22"/>
        </w:rPr>
        <w:t xml:space="preserve">personal </w:t>
      </w:r>
      <w:r w:rsidRPr="0084541D">
        <w:rPr>
          <w:rFonts w:asciiTheme="minorHAnsi" w:hAnsiTheme="minorHAnsi" w:cstheme="minorHAnsi"/>
          <w:sz w:val="22"/>
          <w:szCs w:val="22"/>
        </w:rPr>
        <w:t>data from material and information sent to the CPS unless the disclosure of that data is required for a law enforcement purpose.  This means the information is needed to enable the CPS to make a charging decision; to support the ongoing review of a case; or to discharge disclosure duties under common law; the CPIA</w:t>
      </w:r>
      <w:r w:rsidR="00E91CA6" w:rsidRPr="0084541D">
        <w:rPr>
          <w:rFonts w:asciiTheme="minorHAnsi" w:hAnsiTheme="minorHAnsi" w:cstheme="minorHAnsi"/>
          <w:sz w:val="22"/>
          <w:szCs w:val="22"/>
        </w:rPr>
        <w:t xml:space="preserve"> 1996</w:t>
      </w:r>
      <w:r w:rsidRPr="0084541D">
        <w:rPr>
          <w:rFonts w:asciiTheme="minorHAnsi" w:hAnsiTheme="minorHAnsi" w:cstheme="minorHAnsi"/>
          <w:sz w:val="22"/>
          <w:szCs w:val="22"/>
        </w:rPr>
        <w:t xml:space="preserve"> or the CPIA Code of Practice.  </w:t>
      </w:r>
    </w:p>
    <w:p w14:paraId="3F5BCC1F" w14:textId="77777777" w:rsidR="00E91CA6" w:rsidRPr="0084541D" w:rsidRDefault="00F1458A" w:rsidP="0084541D">
      <w:pPr>
        <w:numPr>
          <w:ilvl w:val="0"/>
          <w:numId w:val="7"/>
        </w:numPr>
        <w:overflowPunct w:val="0"/>
        <w:autoSpaceDE w:val="0"/>
        <w:autoSpaceDN w:val="0"/>
        <w:adjustRightInd w:val="0"/>
        <w:spacing w:line="360" w:lineRule="auto"/>
        <w:ind w:left="567" w:hanging="283"/>
        <w:textAlignment w:val="baseline"/>
        <w:rPr>
          <w:rFonts w:cstheme="minorHAnsi"/>
          <w:b/>
        </w:rPr>
      </w:pPr>
      <w:r w:rsidRPr="0084541D">
        <w:rPr>
          <w:rFonts w:cstheme="minorHAnsi"/>
        </w:rPr>
        <w:t>The CPS is responsible for ensuring</w:t>
      </w:r>
      <w:r w:rsidR="00E91CA6" w:rsidRPr="0084541D">
        <w:rPr>
          <w:rFonts w:cstheme="minorHAnsi"/>
        </w:rPr>
        <w:t>:</w:t>
      </w:r>
    </w:p>
    <w:p w14:paraId="3FB292A2" w14:textId="77777777" w:rsidR="00F1458A" w:rsidRPr="0084541D" w:rsidRDefault="00F1458A" w:rsidP="0084541D">
      <w:pPr>
        <w:numPr>
          <w:ilvl w:val="1"/>
          <w:numId w:val="7"/>
        </w:numPr>
        <w:overflowPunct w:val="0"/>
        <w:autoSpaceDE w:val="0"/>
        <w:autoSpaceDN w:val="0"/>
        <w:adjustRightInd w:val="0"/>
        <w:spacing w:line="360" w:lineRule="auto"/>
        <w:textAlignment w:val="baseline"/>
        <w:rPr>
          <w:rFonts w:cstheme="minorHAnsi"/>
          <w:b/>
        </w:rPr>
      </w:pPr>
      <w:r w:rsidRPr="0084541D">
        <w:rPr>
          <w:rFonts w:cstheme="minorHAnsi"/>
        </w:rPr>
        <w:lastRenderedPageBreak/>
        <w:t xml:space="preserve"> it only handles personal data received from the </w:t>
      </w:r>
      <w:r w:rsidR="00370E85">
        <w:rPr>
          <w:rFonts w:cstheme="minorHAnsi"/>
        </w:rPr>
        <w:t>Police</w:t>
      </w:r>
      <w:r w:rsidRPr="0084541D">
        <w:rPr>
          <w:rFonts w:cstheme="minorHAnsi"/>
        </w:rPr>
        <w:t xml:space="preserve"> if it is required for a law enforcement purpose. </w:t>
      </w:r>
    </w:p>
    <w:p w14:paraId="40B034BB" w14:textId="77777777" w:rsidR="00E91CA6" w:rsidRPr="0084541D" w:rsidRDefault="00E91CA6" w:rsidP="0084541D">
      <w:pPr>
        <w:numPr>
          <w:ilvl w:val="1"/>
          <w:numId w:val="7"/>
        </w:numPr>
        <w:overflowPunct w:val="0"/>
        <w:autoSpaceDE w:val="0"/>
        <w:autoSpaceDN w:val="0"/>
        <w:adjustRightInd w:val="0"/>
        <w:spacing w:line="360" w:lineRule="auto"/>
        <w:textAlignment w:val="baseline"/>
        <w:rPr>
          <w:rFonts w:cstheme="minorHAnsi"/>
          <w:b/>
        </w:rPr>
      </w:pPr>
      <w:r w:rsidRPr="0084541D">
        <w:rPr>
          <w:rFonts w:eastAsia="Times New Roman" w:cstheme="minorHAnsi"/>
          <w:lang w:eastAsia="en-GB"/>
        </w:rPr>
        <w:t xml:space="preserve">that </w:t>
      </w:r>
      <w:r w:rsidR="00681F63">
        <w:rPr>
          <w:rFonts w:eastAsia="Times New Roman" w:cstheme="minorHAnsi"/>
          <w:lang w:eastAsia="en-GB"/>
        </w:rPr>
        <w:t xml:space="preserve">personal and sensitive personal data </w:t>
      </w:r>
      <w:r w:rsidRPr="0084541D">
        <w:rPr>
          <w:rFonts w:eastAsia="Times New Roman" w:cstheme="minorHAnsi"/>
          <w:lang w:eastAsia="en-GB"/>
        </w:rPr>
        <w:t xml:space="preserve">is not disclosed </w:t>
      </w:r>
      <w:r w:rsidRPr="0084541D">
        <w:rPr>
          <w:rFonts w:cstheme="minorHAnsi"/>
        </w:rPr>
        <w:t xml:space="preserve">to any third party including the Defence and </w:t>
      </w:r>
      <w:r w:rsidR="00E52B2B" w:rsidRPr="0084541D">
        <w:rPr>
          <w:rFonts w:cstheme="minorHAnsi"/>
        </w:rPr>
        <w:t>Court unless</w:t>
      </w:r>
      <w:r w:rsidRPr="0084541D">
        <w:rPr>
          <w:rFonts w:eastAsia="Times New Roman" w:cstheme="minorHAnsi"/>
          <w:lang w:eastAsia="en-GB"/>
        </w:rPr>
        <w:t xml:space="preserve"> that disclosure is for a law enforcement purpose.</w:t>
      </w:r>
    </w:p>
    <w:bookmarkEnd w:id="0"/>
    <w:p w14:paraId="42E3C8A5" w14:textId="77777777" w:rsidR="00E047CB" w:rsidRPr="0084541D" w:rsidRDefault="00E047CB" w:rsidP="0084541D">
      <w:pPr>
        <w:spacing w:line="360" w:lineRule="auto"/>
        <w:rPr>
          <w:rFonts w:cstheme="minorHAnsi"/>
          <w:b/>
          <w:bCs/>
        </w:rPr>
      </w:pPr>
    </w:p>
    <w:p w14:paraId="37952C32" w14:textId="77777777" w:rsidR="00931908" w:rsidRPr="00370E85" w:rsidRDefault="00931908" w:rsidP="00370E85">
      <w:pPr>
        <w:pStyle w:val="ListParagraph"/>
        <w:numPr>
          <w:ilvl w:val="0"/>
          <w:numId w:val="15"/>
        </w:numPr>
        <w:spacing w:line="360" w:lineRule="auto"/>
        <w:rPr>
          <w:rFonts w:asciiTheme="minorHAnsi" w:eastAsiaTheme="minorHAnsi" w:hAnsiTheme="minorHAnsi" w:cstheme="minorHAnsi"/>
          <w:b/>
          <w:bCs/>
        </w:rPr>
      </w:pPr>
      <w:r w:rsidRPr="00370E85">
        <w:rPr>
          <w:rFonts w:asciiTheme="minorHAnsi" w:eastAsiaTheme="minorHAnsi" w:hAnsiTheme="minorHAnsi" w:cstheme="minorHAnsi"/>
          <w:b/>
          <w:bCs/>
        </w:rPr>
        <w:t>Introduction</w:t>
      </w:r>
    </w:p>
    <w:p w14:paraId="70CD543A" w14:textId="77777777" w:rsidR="00514D48" w:rsidRPr="0084541D" w:rsidRDefault="00514D48" w:rsidP="0084541D">
      <w:pPr>
        <w:spacing w:line="360" w:lineRule="auto"/>
        <w:rPr>
          <w:rFonts w:cstheme="minorHAnsi"/>
        </w:rPr>
      </w:pPr>
      <w:r w:rsidRPr="0084541D">
        <w:rPr>
          <w:rFonts w:cstheme="minorHAnsi"/>
        </w:rPr>
        <w:t xml:space="preserve">Redaction is the term used to describe the editing of text or information from material for legal or security reasons. </w:t>
      </w:r>
      <w:r w:rsidR="001522E8" w:rsidRPr="0084541D">
        <w:rPr>
          <w:rFonts w:cstheme="minorHAnsi"/>
        </w:rPr>
        <w:t>M</w:t>
      </w:r>
      <w:r w:rsidRPr="0084541D">
        <w:rPr>
          <w:rFonts w:cstheme="minorHAnsi"/>
        </w:rPr>
        <w:t>aterial include</w:t>
      </w:r>
      <w:r w:rsidR="001522E8" w:rsidRPr="0084541D">
        <w:rPr>
          <w:rFonts w:cstheme="minorHAnsi"/>
        </w:rPr>
        <w:t>s</w:t>
      </w:r>
      <w:r w:rsidRPr="0084541D">
        <w:rPr>
          <w:rFonts w:cstheme="minorHAnsi"/>
        </w:rPr>
        <w:t xml:space="preserve"> statements, documentary exhibits, audio and video recordings, digital </w:t>
      </w:r>
      <w:r w:rsidR="000B657B" w:rsidRPr="0084541D">
        <w:rPr>
          <w:rFonts w:cstheme="minorHAnsi"/>
        </w:rPr>
        <w:t>material,</w:t>
      </w:r>
      <w:r w:rsidRPr="0084541D">
        <w:rPr>
          <w:rFonts w:cstheme="minorHAnsi"/>
        </w:rPr>
        <w:t xml:space="preserve"> and other </w:t>
      </w:r>
      <w:r w:rsidR="001522E8" w:rsidRPr="0084541D">
        <w:rPr>
          <w:rFonts w:cstheme="minorHAnsi"/>
        </w:rPr>
        <w:t xml:space="preserve">sources of information such as </w:t>
      </w:r>
      <w:r w:rsidRPr="0084541D">
        <w:rPr>
          <w:rFonts w:cstheme="minorHAnsi"/>
        </w:rPr>
        <w:t xml:space="preserve">crime reports. </w:t>
      </w:r>
    </w:p>
    <w:p w14:paraId="10251BA7" w14:textId="77777777" w:rsidR="00514D48" w:rsidRPr="0084541D" w:rsidRDefault="00514D48" w:rsidP="0084541D">
      <w:pPr>
        <w:spacing w:line="360" w:lineRule="auto"/>
        <w:rPr>
          <w:rFonts w:cstheme="minorHAnsi"/>
        </w:rPr>
      </w:pPr>
    </w:p>
    <w:p w14:paraId="7AA27C67" w14:textId="77777777" w:rsidR="0082480F" w:rsidRPr="0084541D" w:rsidRDefault="001522E8" w:rsidP="0084541D">
      <w:pPr>
        <w:spacing w:line="360" w:lineRule="auto"/>
        <w:rPr>
          <w:rFonts w:cstheme="minorHAnsi"/>
        </w:rPr>
      </w:pPr>
      <w:r w:rsidRPr="0084541D">
        <w:rPr>
          <w:rFonts w:cstheme="minorHAnsi"/>
        </w:rPr>
        <w:t xml:space="preserve">Understanding </w:t>
      </w:r>
      <w:r w:rsidR="00CD2884" w:rsidRPr="0084541D">
        <w:rPr>
          <w:rFonts w:cstheme="minorHAnsi"/>
        </w:rPr>
        <w:t xml:space="preserve">why we need to redact and the </w:t>
      </w:r>
      <w:r w:rsidR="00837C9F" w:rsidRPr="0084541D">
        <w:rPr>
          <w:rFonts w:cstheme="minorHAnsi"/>
        </w:rPr>
        <w:t xml:space="preserve">legal </w:t>
      </w:r>
      <w:r w:rsidR="00CD2884" w:rsidRPr="0084541D">
        <w:rPr>
          <w:rFonts w:cstheme="minorHAnsi"/>
        </w:rPr>
        <w:t>basis for doing so</w:t>
      </w:r>
      <w:r w:rsidR="001625DF" w:rsidRPr="0084541D">
        <w:rPr>
          <w:rFonts w:cstheme="minorHAnsi"/>
        </w:rPr>
        <w:t xml:space="preserve"> </w:t>
      </w:r>
      <w:r w:rsidR="00D60D4B" w:rsidRPr="0084541D">
        <w:rPr>
          <w:rFonts w:cstheme="minorHAnsi"/>
        </w:rPr>
        <w:t xml:space="preserve">ensures we </w:t>
      </w:r>
      <w:r w:rsidR="001625DF" w:rsidRPr="0084541D">
        <w:rPr>
          <w:rFonts w:cstheme="minorHAnsi"/>
        </w:rPr>
        <w:t>process and share material safely and in accordance with our obligations under</w:t>
      </w:r>
      <w:r w:rsidR="00E91CA6" w:rsidRPr="0084541D">
        <w:rPr>
          <w:rFonts w:cstheme="minorHAnsi"/>
        </w:rPr>
        <w:t>:</w:t>
      </w:r>
      <w:r w:rsidR="001625DF" w:rsidRPr="0084541D">
        <w:rPr>
          <w:rFonts w:cstheme="minorHAnsi"/>
        </w:rPr>
        <w:t xml:space="preserve"> </w:t>
      </w:r>
    </w:p>
    <w:p w14:paraId="468B7819" w14:textId="77777777" w:rsidR="0082480F" w:rsidRPr="0084541D" w:rsidRDefault="001625DF" w:rsidP="0084541D">
      <w:pPr>
        <w:pStyle w:val="ListParagraph"/>
        <w:numPr>
          <w:ilvl w:val="0"/>
          <w:numId w:val="12"/>
        </w:numPr>
        <w:spacing w:line="360" w:lineRule="auto"/>
        <w:rPr>
          <w:rFonts w:asciiTheme="minorHAnsi" w:hAnsiTheme="minorHAnsi" w:cstheme="minorHAnsi"/>
          <w:sz w:val="22"/>
          <w:szCs w:val="22"/>
        </w:rPr>
      </w:pPr>
      <w:r w:rsidRPr="0084541D">
        <w:rPr>
          <w:rFonts w:asciiTheme="minorHAnsi" w:hAnsiTheme="minorHAnsi" w:cstheme="minorHAnsi"/>
          <w:sz w:val="22"/>
          <w:szCs w:val="22"/>
        </w:rPr>
        <w:t>the Data Protection Act 2018</w:t>
      </w:r>
      <w:r w:rsidR="002B7B1B" w:rsidRPr="0084541D">
        <w:rPr>
          <w:rFonts w:asciiTheme="minorHAnsi" w:hAnsiTheme="minorHAnsi" w:cstheme="minorHAnsi"/>
          <w:sz w:val="22"/>
          <w:szCs w:val="22"/>
        </w:rPr>
        <w:t xml:space="preserve"> (DPA)</w:t>
      </w:r>
      <w:r w:rsidR="0082480F" w:rsidRPr="0084541D">
        <w:rPr>
          <w:rFonts w:asciiTheme="minorHAnsi" w:hAnsiTheme="minorHAnsi" w:cstheme="minorHAnsi"/>
          <w:sz w:val="22"/>
          <w:szCs w:val="22"/>
        </w:rPr>
        <w:t>;</w:t>
      </w:r>
      <w:r w:rsidR="006017BE" w:rsidRPr="0084541D">
        <w:rPr>
          <w:rFonts w:asciiTheme="minorHAnsi" w:hAnsiTheme="minorHAnsi" w:cstheme="minorHAnsi"/>
          <w:sz w:val="22"/>
          <w:szCs w:val="22"/>
        </w:rPr>
        <w:t xml:space="preserve"> and </w:t>
      </w:r>
    </w:p>
    <w:p w14:paraId="6F8B3A82" w14:textId="77777777" w:rsidR="0072624B" w:rsidRPr="0084541D" w:rsidRDefault="006017BE" w:rsidP="0084541D">
      <w:pPr>
        <w:pStyle w:val="ListParagraph"/>
        <w:numPr>
          <w:ilvl w:val="0"/>
          <w:numId w:val="12"/>
        </w:numPr>
        <w:spacing w:line="360" w:lineRule="auto"/>
        <w:rPr>
          <w:rFonts w:asciiTheme="minorHAnsi" w:hAnsiTheme="minorHAnsi" w:cstheme="minorHAnsi"/>
          <w:sz w:val="22"/>
          <w:szCs w:val="22"/>
        </w:rPr>
      </w:pPr>
      <w:r w:rsidRPr="0084541D">
        <w:rPr>
          <w:rFonts w:asciiTheme="minorHAnsi" w:hAnsiTheme="minorHAnsi" w:cstheme="minorHAnsi"/>
          <w:sz w:val="22"/>
          <w:szCs w:val="22"/>
        </w:rPr>
        <w:t>the Criminal Procedure and Investigation Act 1996</w:t>
      </w:r>
      <w:r w:rsidR="0082480F" w:rsidRPr="0084541D">
        <w:rPr>
          <w:rFonts w:asciiTheme="minorHAnsi" w:hAnsiTheme="minorHAnsi" w:cstheme="minorHAnsi"/>
          <w:sz w:val="22"/>
          <w:szCs w:val="22"/>
        </w:rPr>
        <w:t xml:space="preserve"> (CPIA 1996)</w:t>
      </w:r>
      <w:r w:rsidR="00E047CB" w:rsidRPr="0084541D">
        <w:rPr>
          <w:rFonts w:asciiTheme="minorHAnsi" w:hAnsiTheme="minorHAnsi" w:cstheme="minorHAnsi"/>
          <w:sz w:val="22"/>
          <w:szCs w:val="22"/>
        </w:rPr>
        <w:t xml:space="preserve"> / CPIA Code of Practice (CPIA Code)</w:t>
      </w:r>
      <w:r w:rsidR="00B047E2" w:rsidRPr="0084541D">
        <w:rPr>
          <w:rFonts w:asciiTheme="minorHAnsi" w:hAnsiTheme="minorHAnsi" w:cstheme="minorHAnsi"/>
          <w:sz w:val="22"/>
          <w:szCs w:val="22"/>
        </w:rPr>
        <w:t xml:space="preserve">. </w:t>
      </w:r>
    </w:p>
    <w:p w14:paraId="4B508EDA" w14:textId="77777777" w:rsidR="00BB075D" w:rsidRPr="0084541D" w:rsidRDefault="00BB075D" w:rsidP="0084541D">
      <w:pPr>
        <w:spacing w:line="360" w:lineRule="auto"/>
        <w:rPr>
          <w:rFonts w:cstheme="minorHAnsi"/>
        </w:rPr>
      </w:pPr>
    </w:p>
    <w:p w14:paraId="6C852453" w14:textId="77777777" w:rsidR="00BB075D" w:rsidRPr="0084541D" w:rsidRDefault="002B7B1B" w:rsidP="0084541D">
      <w:pPr>
        <w:spacing w:line="360" w:lineRule="auto"/>
        <w:rPr>
          <w:rFonts w:cstheme="minorHAnsi"/>
        </w:rPr>
      </w:pPr>
      <w:r w:rsidRPr="0084541D">
        <w:rPr>
          <w:rFonts w:cstheme="minorHAnsi"/>
        </w:rPr>
        <w:t xml:space="preserve">The DPA is </w:t>
      </w:r>
      <w:r w:rsidR="005D6966" w:rsidRPr="0084541D">
        <w:rPr>
          <w:rFonts w:cstheme="minorHAnsi"/>
        </w:rPr>
        <w:t xml:space="preserve">intended </w:t>
      </w:r>
      <w:r w:rsidRPr="0084541D">
        <w:rPr>
          <w:rFonts w:cstheme="minorHAnsi"/>
        </w:rPr>
        <w:t>to protect and safeguard an individual’s person</w:t>
      </w:r>
      <w:r w:rsidR="00BE48E1" w:rsidRPr="0084541D">
        <w:rPr>
          <w:rFonts w:cstheme="minorHAnsi"/>
        </w:rPr>
        <w:t xml:space="preserve">al </w:t>
      </w:r>
      <w:r w:rsidR="005D6966" w:rsidRPr="0084541D">
        <w:rPr>
          <w:rFonts w:cstheme="minorHAnsi"/>
        </w:rPr>
        <w:t>and sensitive</w:t>
      </w:r>
      <w:r w:rsidR="0082480F" w:rsidRPr="0084541D">
        <w:rPr>
          <w:rFonts w:cstheme="minorHAnsi"/>
        </w:rPr>
        <w:t xml:space="preserve"> personal </w:t>
      </w:r>
      <w:r w:rsidR="00BE48E1" w:rsidRPr="0084541D">
        <w:rPr>
          <w:rFonts w:cstheme="minorHAnsi"/>
        </w:rPr>
        <w:t>data</w:t>
      </w:r>
      <w:r w:rsidR="005D6966" w:rsidRPr="0084541D">
        <w:rPr>
          <w:rFonts w:cstheme="minorHAnsi"/>
        </w:rPr>
        <w:t xml:space="preserve">. It creates a </w:t>
      </w:r>
      <w:r w:rsidR="00BB075D" w:rsidRPr="0084541D">
        <w:rPr>
          <w:rFonts w:cstheme="minorHAnsi"/>
        </w:rPr>
        <w:t>regime (Part 3) that applies to data processing by organisations with a law enforcement function</w:t>
      </w:r>
      <w:r w:rsidR="00973A67" w:rsidRPr="0084541D">
        <w:rPr>
          <w:rFonts w:cstheme="minorHAnsi"/>
        </w:rPr>
        <w:t>,</w:t>
      </w:r>
      <w:r w:rsidR="00BB075D" w:rsidRPr="0084541D">
        <w:rPr>
          <w:rFonts w:cstheme="minorHAnsi"/>
        </w:rPr>
        <w:t xml:space="preserve"> </w:t>
      </w:r>
      <w:r w:rsidR="00973A67" w:rsidRPr="0084541D">
        <w:rPr>
          <w:rFonts w:cstheme="minorHAnsi"/>
        </w:rPr>
        <w:t xml:space="preserve">which </w:t>
      </w:r>
      <w:r w:rsidR="00BB075D" w:rsidRPr="0084541D">
        <w:rPr>
          <w:rFonts w:cstheme="minorHAnsi"/>
        </w:rPr>
        <w:t>include</w:t>
      </w:r>
      <w:r w:rsidR="00E91CA6" w:rsidRPr="0084541D">
        <w:rPr>
          <w:rFonts w:cstheme="minorHAnsi"/>
        </w:rPr>
        <w:t>s</w:t>
      </w:r>
      <w:r w:rsidR="00BB075D" w:rsidRPr="0084541D">
        <w:rPr>
          <w:rFonts w:cstheme="minorHAnsi"/>
        </w:rPr>
        <w:t xml:space="preserve"> the </w:t>
      </w:r>
      <w:r w:rsidR="00370E85">
        <w:rPr>
          <w:rFonts w:cstheme="minorHAnsi"/>
        </w:rPr>
        <w:t>Police</w:t>
      </w:r>
      <w:r w:rsidR="00E91CA6" w:rsidRPr="0084541D">
        <w:rPr>
          <w:rFonts w:cstheme="minorHAnsi"/>
        </w:rPr>
        <w:t xml:space="preserve"> and </w:t>
      </w:r>
      <w:r w:rsidR="000B657B" w:rsidRPr="0084541D">
        <w:rPr>
          <w:rFonts w:cstheme="minorHAnsi"/>
        </w:rPr>
        <w:t>CPS.</w:t>
      </w:r>
      <w:r w:rsidR="00973A67" w:rsidRPr="0084541D">
        <w:rPr>
          <w:rFonts w:cstheme="minorHAnsi"/>
        </w:rPr>
        <w:t xml:space="preserve"> The regime under Part 3 of the DPA is separate from the UK General Data Protection Regulations (</w:t>
      </w:r>
      <w:r w:rsidR="00262AE3" w:rsidRPr="0084541D">
        <w:rPr>
          <w:rFonts w:cstheme="minorHAnsi"/>
        </w:rPr>
        <w:t xml:space="preserve">UK </w:t>
      </w:r>
      <w:r w:rsidR="00973A67" w:rsidRPr="0084541D">
        <w:rPr>
          <w:rFonts w:cstheme="minorHAnsi"/>
        </w:rPr>
        <w:t xml:space="preserve">GDPR). </w:t>
      </w:r>
      <w:r w:rsidR="00BB075D" w:rsidRPr="0084541D">
        <w:rPr>
          <w:rFonts w:cstheme="minorHAnsi"/>
        </w:rPr>
        <w:t xml:space="preserve"> </w:t>
      </w:r>
    </w:p>
    <w:p w14:paraId="4ACF69E8" w14:textId="77777777" w:rsidR="00BB075D" w:rsidRPr="0084541D" w:rsidRDefault="00BB075D" w:rsidP="0084541D">
      <w:pPr>
        <w:spacing w:line="360" w:lineRule="auto"/>
        <w:rPr>
          <w:rFonts w:cstheme="minorHAnsi"/>
        </w:rPr>
      </w:pPr>
    </w:p>
    <w:p w14:paraId="121EB689" w14:textId="77777777" w:rsidR="006017BE" w:rsidRPr="0084541D" w:rsidRDefault="006017BE" w:rsidP="0084541D">
      <w:pPr>
        <w:spacing w:line="360" w:lineRule="auto"/>
        <w:rPr>
          <w:rFonts w:cstheme="minorHAnsi"/>
        </w:rPr>
      </w:pPr>
      <w:r w:rsidRPr="0084541D">
        <w:rPr>
          <w:rFonts w:cstheme="minorHAnsi"/>
        </w:rPr>
        <w:t>The CPIA</w:t>
      </w:r>
      <w:r w:rsidR="00370E85">
        <w:rPr>
          <w:rFonts w:cstheme="minorHAnsi"/>
        </w:rPr>
        <w:t xml:space="preserve"> 1996</w:t>
      </w:r>
      <w:r w:rsidRPr="0084541D">
        <w:rPr>
          <w:rFonts w:cstheme="minorHAnsi"/>
        </w:rPr>
        <w:t xml:space="preserve"> is intended to ensure an individuals’ right to a fair trial.  This is achieved through a fai</w:t>
      </w:r>
      <w:r w:rsidR="0082480F" w:rsidRPr="0084541D">
        <w:rPr>
          <w:rFonts w:cstheme="minorHAnsi"/>
        </w:rPr>
        <w:t>r</w:t>
      </w:r>
      <w:r w:rsidRPr="0084541D">
        <w:rPr>
          <w:rFonts w:cstheme="minorHAnsi"/>
        </w:rPr>
        <w:t xml:space="preserve"> investigation and disclosure of material to the defence that either undermines the prosecution case or assists the defence case.</w:t>
      </w:r>
    </w:p>
    <w:p w14:paraId="3F4D63A9" w14:textId="77777777" w:rsidR="006017BE" w:rsidRPr="0084541D" w:rsidRDefault="006017BE" w:rsidP="0084541D">
      <w:pPr>
        <w:spacing w:line="360" w:lineRule="auto"/>
        <w:rPr>
          <w:rFonts w:cstheme="minorHAnsi"/>
        </w:rPr>
      </w:pPr>
    </w:p>
    <w:p w14:paraId="16F52596" w14:textId="77777777" w:rsidR="006017BE" w:rsidRPr="0084541D" w:rsidRDefault="006017BE" w:rsidP="0084541D">
      <w:pPr>
        <w:spacing w:line="360" w:lineRule="auto"/>
        <w:rPr>
          <w:rFonts w:cstheme="minorHAnsi"/>
        </w:rPr>
      </w:pPr>
      <w:r w:rsidRPr="0084541D">
        <w:rPr>
          <w:rFonts w:cstheme="minorHAnsi"/>
        </w:rPr>
        <w:t xml:space="preserve">Redaction allows the </w:t>
      </w:r>
      <w:r w:rsidR="00370E85">
        <w:rPr>
          <w:rFonts w:cstheme="minorHAnsi"/>
        </w:rPr>
        <w:t>Police</w:t>
      </w:r>
      <w:r w:rsidRPr="0084541D">
        <w:rPr>
          <w:rFonts w:cstheme="minorHAnsi"/>
        </w:rPr>
        <w:t xml:space="preserve"> and CPS to share and serve:</w:t>
      </w:r>
    </w:p>
    <w:p w14:paraId="55AFA124" w14:textId="77777777" w:rsidR="006017BE" w:rsidRPr="0084541D" w:rsidRDefault="006017BE" w:rsidP="0084541D">
      <w:pPr>
        <w:spacing w:line="360" w:lineRule="auto"/>
        <w:rPr>
          <w:rFonts w:cstheme="minorHAnsi"/>
        </w:rPr>
      </w:pPr>
    </w:p>
    <w:p w14:paraId="4DC5BE04" w14:textId="77777777" w:rsidR="006017BE" w:rsidRPr="0084541D" w:rsidRDefault="006017BE" w:rsidP="0084541D">
      <w:pPr>
        <w:pStyle w:val="ListParagraph"/>
        <w:numPr>
          <w:ilvl w:val="0"/>
          <w:numId w:val="11"/>
        </w:numPr>
        <w:spacing w:line="360" w:lineRule="auto"/>
        <w:rPr>
          <w:rFonts w:asciiTheme="minorHAnsi" w:hAnsiTheme="minorHAnsi" w:cstheme="minorHAnsi"/>
          <w:sz w:val="22"/>
          <w:szCs w:val="22"/>
        </w:rPr>
      </w:pPr>
      <w:r w:rsidRPr="0084541D">
        <w:rPr>
          <w:rFonts w:asciiTheme="minorHAnsi" w:hAnsiTheme="minorHAnsi" w:cstheme="minorHAnsi"/>
          <w:sz w:val="22"/>
          <w:szCs w:val="22"/>
        </w:rPr>
        <w:t xml:space="preserve">Material and information which is either relevant to proving the case or meets the test for disclosure under </w:t>
      </w:r>
      <w:r w:rsidR="0082480F" w:rsidRPr="0084541D">
        <w:rPr>
          <w:rFonts w:asciiTheme="minorHAnsi" w:hAnsiTheme="minorHAnsi" w:cstheme="minorHAnsi"/>
          <w:sz w:val="22"/>
          <w:szCs w:val="22"/>
        </w:rPr>
        <w:t xml:space="preserve">either </w:t>
      </w:r>
      <w:r w:rsidRPr="0084541D">
        <w:rPr>
          <w:rFonts w:asciiTheme="minorHAnsi" w:hAnsiTheme="minorHAnsi" w:cstheme="minorHAnsi"/>
          <w:sz w:val="22"/>
          <w:szCs w:val="22"/>
        </w:rPr>
        <w:t>common law or CPIA</w:t>
      </w:r>
      <w:r w:rsidR="00302EAE" w:rsidRPr="0084541D">
        <w:rPr>
          <w:rFonts w:asciiTheme="minorHAnsi" w:hAnsiTheme="minorHAnsi" w:cstheme="minorHAnsi"/>
          <w:sz w:val="22"/>
          <w:szCs w:val="22"/>
        </w:rPr>
        <w:t xml:space="preserve"> 1996</w:t>
      </w:r>
      <w:r w:rsidR="0082480F" w:rsidRPr="0084541D">
        <w:rPr>
          <w:rFonts w:asciiTheme="minorHAnsi" w:hAnsiTheme="minorHAnsi" w:cstheme="minorHAnsi"/>
          <w:sz w:val="22"/>
          <w:szCs w:val="22"/>
        </w:rPr>
        <w:t>,</w:t>
      </w:r>
      <w:r w:rsidRPr="0084541D">
        <w:rPr>
          <w:rFonts w:asciiTheme="minorHAnsi" w:hAnsiTheme="minorHAnsi" w:cstheme="minorHAnsi"/>
          <w:sz w:val="22"/>
          <w:szCs w:val="22"/>
        </w:rPr>
        <w:t xml:space="preserve"> by redacting personal and sensitive personal data with no relevance to any issues in the case; and,</w:t>
      </w:r>
    </w:p>
    <w:p w14:paraId="3617746C" w14:textId="77777777" w:rsidR="006017BE" w:rsidRPr="0084541D" w:rsidRDefault="006017BE" w:rsidP="0084541D">
      <w:pPr>
        <w:pStyle w:val="ListParagraph"/>
        <w:numPr>
          <w:ilvl w:val="0"/>
          <w:numId w:val="11"/>
        </w:numPr>
        <w:spacing w:line="360" w:lineRule="auto"/>
        <w:rPr>
          <w:rFonts w:asciiTheme="minorHAnsi" w:hAnsiTheme="minorHAnsi" w:cstheme="minorHAnsi"/>
          <w:sz w:val="22"/>
          <w:szCs w:val="22"/>
        </w:rPr>
      </w:pPr>
      <w:r w:rsidRPr="0084541D">
        <w:rPr>
          <w:rFonts w:asciiTheme="minorHAnsi" w:hAnsiTheme="minorHAnsi" w:cstheme="minorHAnsi"/>
          <w:sz w:val="22"/>
          <w:szCs w:val="22"/>
        </w:rPr>
        <w:t xml:space="preserve">Comply with distinct disclosure obligations </w:t>
      </w:r>
      <w:r w:rsidR="000304BD" w:rsidRPr="0084541D">
        <w:rPr>
          <w:rFonts w:asciiTheme="minorHAnsi" w:hAnsiTheme="minorHAnsi" w:cstheme="minorHAnsi"/>
          <w:sz w:val="22"/>
          <w:szCs w:val="22"/>
        </w:rPr>
        <w:t xml:space="preserve">relating to the handling of </w:t>
      </w:r>
      <w:r w:rsidR="000304BD" w:rsidRPr="0084541D">
        <w:rPr>
          <w:rFonts w:asciiTheme="minorHAnsi" w:hAnsiTheme="minorHAnsi" w:cstheme="minorHAnsi"/>
          <w:b/>
          <w:bCs/>
          <w:sz w:val="22"/>
          <w:szCs w:val="22"/>
        </w:rPr>
        <w:t xml:space="preserve">Sensitive Material </w:t>
      </w:r>
      <w:r w:rsidR="000304BD" w:rsidRPr="0084541D">
        <w:rPr>
          <w:rFonts w:asciiTheme="minorHAnsi" w:hAnsiTheme="minorHAnsi" w:cstheme="minorHAnsi"/>
          <w:sz w:val="22"/>
          <w:szCs w:val="22"/>
        </w:rPr>
        <w:t xml:space="preserve"> defined </w:t>
      </w:r>
      <w:r w:rsidR="0082480F" w:rsidRPr="0084541D">
        <w:rPr>
          <w:rFonts w:asciiTheme="minorHAnsi" w:hAnsiTheme="minorHAnsi" w:cstheme="minorHAnsi"/>
          <w:sz w:val="22"/>
          <w:szCs w:val="22"/>
        </w:rPr>
        <w:t xml:space="preserve">in the </w:t>
      </w:r>
      <w:r w:rsidRPr="0084541D">
        <w:rPr>
          <w:rFonts w:asciiTheme="minorHAnsi" w:hAnsiTheme="minorHAnsi" w:cstheme="minorHAnsi"/>
          <w:sz w:val="22"/>
          <w:szCs w:val="22"/>
        </w:rPr>
        <w:t>CPIA</w:t>
      </w:r>
      <w:r w:rsidR="00302EAE" w:rsidRPr="0084541D">
        <w:rPr>
          <w:rFonts w:asciiTheme="minorHAnsi" w:hAnsiTheme="minorHAnsi" w:cstheme="minorHAnsi"/>
          <w:sz w:val="22"/>
          <w:szCs w:val="22"/>
        </w:rPr>
        <w:t xml:space="preserve"> 1996</w:t>
      </w:r>
      <w:r w:rsidR="000304BD" w:rsidRPr="0084541D">
        <w:rPr>
          <w:rFonts w:asciiTheme="minorHAnsi" w:hAnsiTheme="minorHAnsi" w:cstheme="minorHAnsi"/>
          <w:sz w:val="22"/>
          <w:szCs w:val="22"/>
        </w:rPr>
        <w:t>.</w:t>
      </w:r>
    </w:p>
    <w:p w14:paraId="3CDA2C53" w14:textId="77777777" w:rsidR="006017BE" w:rsidRPr="0084541D" w:rsidRDefault="006017BE" w:rsidP="0084541D">
      <w:pPr>
        <w:spacing w:line="360" w:lineRule="auto"/>
        <w:rPr>
          <w:rFonts w:cstheme="minorHAnsi"/>
        </w:rPr>
      </w:pPr>
    </w:p>
    <w:p w14:paraId="18E344DF" w14:textId="77777777" w:rsidR="005D6966" w:rsidRPr="0084541D" w:rsidRDefault="000304BD" w:rsidP="0084541D">
      <w:pPr>
        <w:spacing w:line="360" w:lineRule="auto"/>
        <w:rPr>
          <w:rFonts w:cstheme="minorHAnsi"/>
        </w:rPr>
      </w:pPr>
      <w:r w:rsidRPr="0084541D">
        <w:rPr>
          <w:rFonts w:cstheme="minorHAnsi"/>
        </w:rPr>
        <w:lastRenderedPageBreak/>
        <w:t>In summary r</w:t>
      </w:r>
      <w:r w:rsidR="00BB075D" w:rsidRPr="0084541D">
        <w:rPr>
          <w:rFonts w:cstheme="minorHAnsi"/>
        </w:rPr>
        <w:t xml:space="preserve">edaction allows </w:t>
      </w:r>
      <w:r w:rsidR="00973A67" w:rsidRPr="0084541D">
        <w:rPr>
          <w:rFonts w:cstheme="minorHAnsi"/>
        </w:rPr>
        <w:t xml:space="preserve">the </w:t>
      </w:r>
      <w:r w:rsidR="00370E85">
        <w:rPr>
          <w:rFonts w:cstheme="minorHAnsi"/>
        </w:rPr>
        <w:t>Police</w:t>
      </w:r>
      <w:r w:rsidR="00973A67" w:rsidRPr="0084541D">
        <w:rPr>
          <w:rFonts w:cstheme="minorHAnsi"/>
        </w:rPr>
        <w:t xml:space="preserve"> and CPS to share and serve </w:t>
      </w:r>
      <w:r w:rsidR="00D60D4B" w:rsidRPr="0084541D">
        <w:rPr>
          <w:rFonts w:cstheme="minorHAnsi"/>
        </w:rPr>
        <w:t xml:space="preserve">evidence and unused </w:t>
      </w:r>
      <w:r w:rsidR="00973A67" w:rsidRPr="0084541D">
        <w:rPr>
          <w:rFonts w:cstheme="minorHAnsi"/>
        </w:rPr>
        <w:t xml:space="preserve">material required to progress investigations and prosecutions whilst also protecting and safeguarding personal </w:t>
      </w:r>
      <w:r w:rsidR="005D6966" w:rsidRPr="0084541D">
        <w:rPr>
          <w:rFonts w:cstheme="minorHAnsi"/>
        </w:rPr>
        <w:t xml:space="preserve">and sensitive </w:t>
      </w:r>
      <w:r w:rsidR="00973A67" w:rsidRPr="0084541D">
        <w:rPr>
          <w:rFonts w:cstheme="minorHAnsi"/>
        </w:rPr>
        <w:t>data</w:t>
      </w:r>
      <w:r w:rsidR="005D6966" w:rsidRPr="0084541D">
        <w:rPr>
          <w:rFonts w:cstheme="minorHAnsi"/>
        </w:rPr>
        <w:t xml:space="preserve">. </w:t>
      </w:r>
      <w:r w:rsidR="00973A67" w:rsidRPr="0084541D">
        <w:rPr>
          <w:rFonts w:cstheme="minorHAnsi"/>
        </w:rPr>
        <w:t xml:space="preserve">Redaction also allows the CPS and </w:t>
      </w:r>
      <w:r w:rsidR="00DF496C" w:rsidRPr="0084541D">
        <w:rPr>
          <w:rFonts w:cstheme="minorHAnsi"/>
        </w:rPr>
        <w:t xml:space="preserve">the </w:t>
      </w:r>
      <w:r w:rsidR="00370E85">
        <w:rPr>
          <w:rFonts w:cstheme="minorHAnsi"/>
        </w:rPr>
        <w:t>Police</w:t>
      </w:r>
      <w:r w:rsidR="00973A67" w:rsidRPr="0084541D">
        <w:rPr>
          <w:rFonts w:cstheme="minorHAnsi"/>
        </w:rPr>
        <w:t xml:space="preserve"> </w:t>
      </w:r>
      <w:r w:rsidR="00DF496C" w:rsidRPr="0084541D">
        <w:rPr>
          <w:rFonts w:cstheme="minorHAnsi"/>
        </w:rPr>
        <w:t xml:space="preserve">to protect material, other than </w:t>
      </w:r>
      <w:r w:rsidR="0082480F" w:rsidRPr="0084541D">
        <w:rPr>
          <w:rFonts w:cstheme="minorHAnsi"/>
        </w:rPr>
        <w:t xml:space="preserve">DPA </w:t>
      </w:r>
      <w:r w:rsidR="00DF496C" w:rsidRPr="0084541D">
        <w:rPr>
          <w:rFonts w:cstheme="minorHAnsi"/>
        </w:rPr>
        <w:t xml:space="preserve">personal </w:t>
      </w:r>
      <w:r w:rsidR="0082480F" w:rsidRPr="0084541D">
        <w:rPr>
          <w:rFonts w:cstheme="minorHAnsi"/>
        </w:rPr>
        <w:t xml:space="preserve">and sensitive personal </w:t>
      </w:r>
      <w:r w:rsidR="00DF496C" w:rsidRPr="0084541D">
        <w:rPr>
          <w:rFonts w:cstheme="minorHAnsi"/>
        </w:rPr>
        <w:t>data, that is sensitive</w:t>
      </w:r>
      <w:r w:rsidR="0082480F" w:rsidRPr="0084541D">
        <w:rPr>
          <w:rFonts w:cstheme="minorHAnsi"/>
        </w:rPr>
        <w:t xml:space="preserve"> as defined in the CPIA</w:t>
      </w:r>
      <w:r w:rsidR="002C61E2" w:rsidRPr="0084541D">
        <w:rPr>
          <w:rFonts w:cstheme="minorHAnsi"/>
        </w:rPr>
        <w:t xml:space="preserve"> 1996</w:t>
      </w:r>
      <w:r w:rsidR="00DF496C" w:rsidRPr="0084541D">
        <w:rPr>
          <w:rFonts w:cstheme="minorHAnsi"/>
        </w:rPr>
        <w:t>.</w:t>
      </w:r>
      <w:r w:rsidR="00973A67" w:rsidRPr="0084541D">
        <w:rPr>
          <w:rFonts w:cstheme="minorHAnsi"/>
        </w:rPr>
        <w:t xml:space="preserve"> </w:t>
      </w:r>
      <w:r w:rsidR="00BB075D" w:rsidRPr="0084541D">
        <w:rPr>
          <w:rFonts w:cstheme="minorHAnsi"/>
        </w:rPr>
        <w:t xml:space="preserve">  </w:t>
      </w:r>
      <w:r w:rsidR="0072624B" w:rsidRPr="0084541D">
        <w:rPr>
          <w:rFonts w:cstheme="minorHAnsi"/>
        </w:rPr>
        <w:t xml:space="preserve"> </w:t>
      </w:r>
    </w:p>
    <w:p w14:paraId="61D5D4E2" w14:textId="77777777" w:rsidR="00370E85" w:rsidRDefault="00370E85" w:rsidP="00370E85">
      <w:pPr>
        <w:spacing w:line="360" w:lineRule="auto"/>
        <w:rPr>
          <w:rFonts w:cstheme="minorHAnsi"/>
        </w:rPr>
      </w:pPr>
    </w:p>
    <w:p w14:paraId="6354D2F1" w14:textId="77777777" w:rsidR="00370E85" w:rsidRPr="00370E85" w:rsidRDefault="00370E85" w:rsidP="00370E85">
      <w:pPr>
        <w:spacing w:line="360" w:lineRule="auto"/>
        <w:rPr>
          <w:rFonts w:cstheme="minorHAnsi"/>
        </w:rPr>
      </w:pPr>
    </w:p>
    <w:p w14:paraId="482D5685" w14:textId="77777777" w:rsidR="00DD1CEF" w:rsidRPr="00370E85" w:rsidRDefault="00383271" w:rsidP="00370E85">
      <w:pPr>
        <w:pStyle w:val="ListParagraph"/>
        <w:numPr>
          <w:ilvl w:val="0"/>
          <w:numId w:val="16"/>
        </w:numPr>
        <w:spacing w:line="360" w:lineRule="auto"/>
        <w:rPr>
          <w:rFonts w:cstheme="minorHAnsi"/>
          <w:b/>
          <w:bCs/>
        </w:rPr>
      </w:pPr>
      <w:r w:rsidRPr="00370E85">
        <w:rPr>
          <w:rFonts w:asciiTheme="minorHAnsi" w:hAnsiTheme="minorHAnsi" w:cstheme="minorHAnsi"/>
          <w:b/>
          <w:bCs/>
        </w:rPr>
        <w:t xml:space="preserve">Key Definitions </w:t>
      </w:r>
      <w:r w:rsidR="00E2614C" w:rsidRPr="00370E85">
        <w:rPr>
          <w:rFonts w:asciiTheme="minorHAnsi" w:hAnsiTheme="minorHAnsi" w:cstheme="minorHAnsi"/>
          <w:b/>
          <w:bCs/>
        </w:rPr>
        <w:t>and Principles</w:t>
      </w:r>
    </w:p>
    <w:p w14:paraId="0E5D0689" w14:textId="77777777" w:rsidR="00A751F0" w:rsidRPr="0084541D" w:rsidRDefault="00D60D4B" w:rsidP="0084541D">
      <w:pPr>
        <w:spacing w:line="360" w:lineRule="auto"/>
        <w:rPr>
          <w:rFonts w:cstheme="minorHAnsi"/>
        </w:rPr>
      </w:pPr>
      <w:r w:rsidRPr="0084541D">
        <w:rPr>
          <w:rFonts w:cstheme="minorHAnsi"/>
        </w:rPr>
        <w:t xml:space="preserve">A </w:t>
      </w:r>
      <w:r w:rsidR="00825EFC" w:rsidRPr="0084541D">
        <w:rPr>
          <w:rFonts w:cstheme="minorHAnsi"/>
        </w:rPr>
        <w:t xml:space="preserve">number of </w:t>
      </w:r>
      <w:r w:rsidR="00312BE9" w:rsidRPr="0084541D">
        <w:rPr>
          <w:rFonts w:cstheme="minorHAnsi"/>
        </w:rPr>
        <w:t xml:space="preserve">principles and </w:t>
      </w:r>
      <w:r w:rsidR="00825EFC" w:rsidRPr="0084541D">
        <w:rPr>
          <w:rFonts w:cstheme="minorHAnsi"/>
        </w:rPr>
        <w:t xml:space="preserve">definitions </w:t>
      </w:r>
      <w:r w:rsidR="00312BE9" w:rsidRPr="0084541D">
        <w:rPr>
          <w:rFonts w:cstheme="minorHAnsi"/>
        </w:rPr>
        <w:t xml:space="preserve">from </w:t>
      </w:r>
      <w:r w:rsidR="00A751F0" w:rsidRPr="0084541D">
        <w:rPr>
          <w:rFonts w:cstheme="minorHAnsi"/>
        </w:rPr>
        <w:t xml:space="preserve">the </w:t>
      </w:r>
      <w:r w:rsidR="00312BE9" w:rsidRPr="0084541D">
        <w:rPr>
          <w:rFonts w:cstheme="minorHAnsi"/>
        </w:rPr>
        <w:t>CPIA</w:t>
      </w:r>
      <w:r w:rsidR="002C61E2" w:rsidRPr="0084541D">
        <w:rPr>
          <w:rFonts w:cstheme="minorHAnsi"/>
        </w:rPr>
        <w:t xml:space="preserve"> 1996</w:t>
      </w:r>
      <w:r w:rsidR="0082480F" w:rsidRPr="0084541D">
        <w:rPr>
          <w:rFonts w:cstheme="minorHAnsi"/>
        </w:rPr>
        <w:t xml:space="preserve">; CPIA </w:t>
      </w:r>
      <w:r w:rsidRPr="0084541D">
        <w:rPr>
          <w:rFonts w:cstheme="minorHAnsi"/>
        </w:rPr>
        <w:t xml:space="preserve">Code; </w:t>
      </w:r>
      <w:r w:rsidR="00312BE9" w:rsidRPr="0084541D">
        <w:rPr>
          <w:rFonts w:cstheme="minorHAnsi"/>
        </w:rPr>
        <w:t xml:space="preserve">the DPA </w:t>
      </w:r>
      <w:r w:rsidRPr="0084541D">
        <w:rPr>
          <w:rFonts w:cstheme="minorHAnsi"/>
        </w:rPr>
        <w:t xml:space="preserve"> and the </w:t>
      </w:r>
      <w:r w:rsidR="00A751F0" w:rsidRPr="0084541D">
        <w:rPr>
          <w:rFonts w:cstheme="minorHAnsi"/>
        </w:rPr>
        <w:t>Attorney</w:t>
      </w:r>
      <w:r w:rsidR="002C61E2" w:rsidRPr="0084541D">
        <w:rPr>
          <w:rFonts w:cstheme="minorHAnsi"/>
        </w:rPr>
        <w:t xml:space="preserve"> </w:t>
      </w:r>
      <w:r w:rsidR="00A751F0" w:rsidRPr="0084541D">
        <w:rPr>
          <w:rFonts w:cstheme="minorHAnsi"/>
        </w:rPr>
        <w:t xml:space="preserve">General Guidelines on </w:t>
      </w:r>
      <w:r w:rsidRPr="0084541D">
        <w:rPr>
          <w:rFonts w:cstheme="minorHAnsi"/>
        </w:rPr>
        <w:t>D</w:t>
      </w:r>
      <w:r w:rsidR="00A751F0" w:rsidRPr="0084541D">
        <w:rPr>
          <w:rFonts w:cstheme="minorHAnsi"/>
        </w:rPr>
        <w:t xml:space="preserve">isclosure </w:t>
      </w:r>
      <w:r w:rsidR="0082480F" w:rsidRPr="0084541D">
        <w:rPr>
          <w:rFonts w:cstheme="minorHAnsi"/>
        </w:rPr>
        <w:t xml:space="preserve">2020 </w:t>
      </w:r>
      <w:r w:rsidRPr="0084541D">
        <w:rPr>
          <w:rFonts w:cstheme="minorHAnsi"/>
        </w:rPr>
        <w:t xml:space="preserve">(AGG) </w:t>
      </w:r>
      <w:r w:rsidR="00A751F0" w:rsidRPr="0084541D">
        <w:rPr>
          <w:rFonts w:cstheme="minorHAnsi"/>
        </w:rPr>
        <w:t>highlight how investigators and prosecutors need to be aware of the balance between the right to a fair trial and the right to private an</w:t>
      </w:r>
      <w:r w:rsidR="00351AA9" w:rsidRPr="0084541D">
        <w:rPr>
          <w:rFonts w:cstheme="minorHAnsi"/>
        </w:rPr>
        <w:t>d</w:t>
      </w:r>
      <w:r w:rsidR="00A751F0" w:rsidRPr="0084541D">
        <w:rPr>
          <w:rFonts w:cstheme="minorHAnsi"/>
        </w:rPr>
        <w:t xml:space="preserve"> family life</w:t>
      </w:r>
      <w:r w:rsidR="00351AA9" w:rsidRPr="0084541D">
        <w:rPr>
          <w:rFonts w:cstheme="minorHAnsi"/>
        </w:rPr>
        <w:t xml:space="preserve"> (see para 11-13 AGG 2020)</w:t>
      </w:r>
      <w:r w:rsidR="00A751F0" w:rsidRPr="0084541D">
        <w:rPr>
          <w:rFonts w:cstheme="minorHAnsi"/>
        </w:rPr>
        <w:t xml:space="preserve">. </w:t>
      </w:r>
    </w:p>
    <w:p w14:paraId="21D05D8F" w14:textId="77777777" w:rsidR="00A751F0" w:rsidRPr="0084541D" w:rsidRDefault="00A751F0" w:rsidP="0084541D">
      <w:pPr>
        <w:spacing w:line="360" w:lineRule="auto"/>
        <w:rPr>
          <w:rFonts w:cstheme="minorHAnsi"/>
        </w:rPr>
      </w:pPr>
    </w:p>
    <w:p w14:paraId="51A1FBBC" w14:textId="77777777" w:rsidR="00A751F0" w:rsidRPr="0084541D" w:rsidRDefault="00E473F7" w:rsidP="0084541D">
      <w:pPr>
        <w:spacing w:line="360" w:lineRule="auto"/>
        <w:rPr>
          <w:rFonts w:cstheme="minorHAnsi"/>
          <w:b/>
          <w:bCs/>
        </w:rPr>
      </w:pPr>
      <w:r w:rsidRPr="0084541D">
        <w:rPr>
          <w:rFonts w:cstheme="minorHAnsi"/>
        </w:rPr>
        <w:t xml:space="preserve">Criminal Investigations should be conducted in accordance with </w:t>
      </w:r>
      <w:r w:rsidR="0082480F" w:rsidRPr="0084541D">
        <w:rPr>
          <w:rFonts w:cstheme="minorHAnsi"/>
        </w:rPr>
        <w:t xml:space="preserve">the </w:t>
      </w:r>
      <w:r w:rsidR="00C35105" w:rsidRPr="0084541D">
        <w:rPr>
          <w:rFonts w:cstheme="minorHAnsi"/>
        </w:rPr>
        <w:t>CPIA</w:t>
      </w:r>
      <w:r w:rsidR="00E047CB" w:rsidRPr="0084541D">
        <w:rPr>
          <w:rFonts w:cstheme="minorHAnsi"/>
        </w:rPr>
        <w:t xml:space="preserve"> Code</w:t>
      </w:r>
      <w:r w:rsidRPr="0084541D">
        <w:rPr>
          <w:rFonts w:cstheme="minorHAnsi"/>
        </w:rPr>
        <w:t xml:space="preserve">. </w:t>
      </w:r>
      <w:r w:rsidR="001E7E24" w:rsidRPr="0084541D">
        <w:rPr>
          <w:rFonts w:cstheme="minorHAnsi"/>
        </w:rPr>
        <w:t xml:space="preserve">Paragraph 3.5 of the </w:t>
      </w:r>
      <w:r w:rsidR="0082480F" w:rsidRPr="0084541D">
        <w:rPr>
          <w:rFonts w:cstheme="minorHAnsi"/>
        </w:rPr>
        <w:t xml:space="preserve">CPIA </w:t>
      </w:r>
      <w:r w:rsidR="001E7E24" w:rsidRPr="0084541D">
        <w:rPr>
          <w:rFonts w:cstheme="minorHAnsi"/>
        </w:rPr>
        <w:t xml:space="preserve">Code </w:t>
      </w:r>
      <w:r w:rsidRPr="0084541D">
        <w:rPr>
          <w:rFonts w:cstheme="minorHAnsi"/>
        </w:rPr>
        <w:t xml:space="preserve">requires investigators to pursue all </w:t>
      </w:r>
      <w:r w:rsidRPr="0084541D">
        <w:rPr>
          <w:rFonts w:cstheme="minorHAnsi"/>
          <w:b/>
          <w:bCs/>
          <w:i/>
          <w:iCs/>
        </w:rPr>
        <w:t xml:space="preserve">reasonable lines of </w:t>
      </w:r>
      <w:r w:rsidR="009F03A5" w:rsidRPr="0084541D">
        <w:rPr>
          <w:rFonts w:cstheme="minorHAnsi"/>
          <w:b/>
          <w:bCs/>
          <w:i/>
          <w:iCs/>
        </w:rPr>
        <w:t>i</w:t>
      </w:r>
      <w:r w:rsidRPr="0084541D">
        <w:rPr>
          <w:rFonts w:cstheme="minorHAnsi"/>
          <w:b/>
          <w:bCs/>
          <w:i/>
          <w:iCs/>
        </w:rPr>
        <w:t>nquiry</w:t>
      </w:r>
      <w:r w:rsidR="001E7E24" w:rsidRPr="0084541D">
        <w:rPr>
          <w:rFonts w:cstheme="minorHAnsi"/>
        </w:rPr>
        <w:t xml:space="preserve">, whether these point towards or away from the suspect. Pursing all reasonable lines of </w:t>
      </w:r>
      <w:r w:rsidR="009F03A5" w:rsidRPr="0084541D">
        <w:rPr>
          <w:rFonts w:cstheme="minorHAnsi"/>
        </w:rPr>
        <w:t>i</w:t>
      </w:r>
      <w:r w:rsidR="001E7E24" w:rsidRPr="0084541D">
        <w:rPr>
          <w:rFonts w:cstheme="minorHAnsi"/>
        </w:rPr>
        <w:t xml:space="preserve">nquiry means that the investigation will produce and gather </w:t>
      </w:r>
      <w:r w:rsidR="001E7E24" w:rsidRPr="0084541D">
        <w:rPr>
          <w:rFonts w:cstheme="minorHAnsi"/>
          <w:b/>
          <w:bCs/>
        </w:rPr>
        <w:t>material</w:t>
      </w:r>
      <w:r w:rsidR="008063A3" w:rsidRPr="0084541D">
        <w:rPr>
          <w:rFonts w:cstheme="minorHAnsi"/>
          <w:b/>
          <w:bCs/>
        </w:rPr>
        <w:t xml:space="preserve"> </w:t>
      </w:r>
      <w:r w:rsidR="008063A3" w:rsidRPr="0084541D">
        <w:rPr>
          <w:rFonts w:cstheme="minorHAnsi"/>
        </w:rPr>
        <w:t xml:space="preserve">which may be </w:t>
      </w:r>
      <w:r w:rsidR="008063A3" w:rsidRPr="0084541D">
        <w:rPr>
          <w:rFonts w:cstheme="minorHAnsi"/>
          <w:b/>
          <w:bCs/>
        </w:rPr>
        <w:t>relevant material</w:t>
      </w:r>
      <w:r w:rsidR="001B6CCB" w:rsidRPr="0084541D">
        <w:rPr>
          <w:rFonts w:cstheme="minorHAnsi"/>
          <w:b/>
          <w:bCs/>
        </w:rPr>
        <w:t>.</w:t>
      </w:r>
      <w:r w:rsidR="00A751F0" w:rsidRPr="0084541D">
        <w:rPr>
          <w:rFonts w:cstheme="minorHAnsi"/>
          <w:b/>
          <w:bCs/>
        </w:rPr>
        <w:t xml:space="preserve">  </w:t>
      </w:r>
    </w:p>
    <w:p w14:paraId="4E432B65" w14:textId="77777777" w:rsidR="00A751F0" w:rsidRPr="0084541D" w:rsidRDefault="00A751F0" w:rsidP="0084541D">
      <w:pPr>
        <w:spacing w:line="360" w:lineRule="auto"/>
        <w:rPr>
          <w:rFonts w:cstheme="minorHAnsi"/>
          <w:b/>
          <w:bCs/>
        </w:rPr>
      </w:pPr>
    </w:p>
    <w:p w14:paraId="01E4A234" w14:textId="77777777" w:rsidR="00A751F0" w:rsidRPr="0084541D" w:rsidRDefault="00A751F0" w:rsidP="0084541D">
      <w:pPr>
        <w:spacing w:line="360" w:lineRule="auto"/>
        <w:rPr>
          <w:rFonts w:cstheme="minorHAnsi"/>
          <w:i/>
          <w:iCs/>
        </w:rPr>
      </w:pPr>
      <w:r w:rsidRPr="0084541D">
        <w:rPr>
          <w:rFonts w:cstheme="minorHAnsi"/>
          <w:b/>
          <w:bCs/>
          <w:i/>
          <w:iCs/>
        </w:rPr>
        <w:t xml:space="preserve">Material </w:t>
      </w:r>
      <w:r w:rsidRPr="0084541D">
        <w:rPr>
          <w:rFonts w:cstheme="minorHAnsi"/>
          <w:i/>
          <w:iCs/>
        </w:rPr>
        <w:t xml:space="preserve">is defined in the CPIA </w:t>
      </w:r>
      <w:r w:rsidR="00E047CB" w:rsidRPr="0084541D">
        <w:rPr>
          <w:rFonts w:cstheme="minorHAnsi"/>
          <w:i/>
          <w:iCs/>
        </w:rPr>
        <w:t xml:space="preserve">Code </w:t>
      </w:r>
      <w:r w:rsidRPr="0084541D">
        <w:rPr>
          <w:rFonts w:cstheme="minorHAnsi"/>
          <w:i/>
          <w:iCs/>
        </w:rPr>
        <w:t xml:space="preserve">(para 2.1 (7)) as material of any kind, including information and objects, which is obtained or inspected in the course of a criminal investigation and which may be relevant to the investigation. It includes material coming into the possession of the investigation but also material generated by the investigation. </w:t>
      </w:r>
    </w:p>
    <w:p w14:paraId="3B2F5692" w14:textId="77777777" w:rsidR="008063A3" w:rsidRPr="0084541D" w:rsidRDefault="008063A3" w:rsidP="0084541D">
      <w:pPr>
        <w:spacing w:line="360" w:lineRule="auto"/>
        <w:rPr>
          <w:rFonts w:cstheme="minorHAnsi"/>
          <w:i/>
          <w:iCs/>
        </w:rPr>
      </w:pPr>
    </w:p>
    <w:p w14:paraId="2218E2EE" w14:textId="77777777" w:rsidR="008063A3" w:rsidRPr="0084541D" w:rsidRDefault="008063A3" w:rsidP="0084541D">
      <w:pPr>
        <w:spacing w:line="360" w:lineRule="auto"/>
        <w:rPr>
          <w:rFonts w:cstheme="minorHAnsi"/>
          <w:i/>
          <w:iCs/>
        </w:rPr>
      </w:pPr>
      <w:r w:rsidRPr="0084541D">
        <w:rPr>
          <w:rFonts w:cstheme="minorHAnsi"/>
          <w:b/>
          <w:bCs/>
          <w:i/>
          <w:iCs/>
        </w:rPr>
        <w:t>Relevant Material (CPIA</w:t>
      </w:r>
      <w:r w:rsidR="002C61E2" w:rsidRPr="0084541D">
        <w:rPr>
          <w:rFonts w:cstheme="minorHAnsi"/>
          <w:b/>
          <w:bCs/>
          <w:i/>
          <w:iCs/>
        </w:rPr>
        <w:t xml:space="preserve"> 199</w:t>
      </w:r>
      <w:r w:rsidR="002703C1" w:rsidRPr="0084541D">
        <w:rPr>
          <w:rFonts w:cstheme="minorHAnsi"/>
          <w:b/>
          <w:bCs/>
          <w:i/>
          <w:iCs/>
        </w:rPr>
        <w:t>6</w:t>
      </w:r>
      <w:r w:rsidRPr="0084541D">
        <w:rPr>
          <w:rFonts w:cstheme="minorHAnsi"/>
          <w:b/>
          <w:bCs/>
          <w:i/>
          <w:iCs/>
        </w:rPr>
        <w:t xml:space="preserve">) </w:t>
      </w:r>
      <w:r w:rsidR="00E047CB" w:rsidRPr="0084541D">
        <w:rPr>
          <w:rFonts w:cstheme="minorHAnsi"/>
          <w:i/>
          <w:iCs/>
        </w:rPr>
        <w:t>may be</w:t>
      </w:r>
      <w:r w:rsidRPr="0084541D">
        <w:rPr>
          <w:rFonts w:cstheme="minorHAnsi"/>
          <w:i/>
          <w:iCs/>
        </w:rPr>
        <w:t xml:space="preserve"> relevant to an investigation if it has some bearing on any offence under investigation or any person being investigated, or on the surrounding circumstances of the case, unless it is incapable of having any impact on the case. (</w:t>
      </w:r>
      <w:r w:rsidR="00E047CB" w:rsidRPr="0084541D">
        <w:rPr>
          <w:rFonts w:cstheme="minorHAnsi"/>
          <w:i/>
          <w:iCs/>
        </w:rPr>
        <w:t xml:space="preserve">CPIA Code </w:t>
      </w:r>
      <w:r w:rsidRPr="0084541D">
        <w:rPr>
          <w:rFonts w:cstheme="minorHAnsi"/>
          <w:i/>
          <w:iCs/>
        </w:rPr>
        <w:t xml:space="preserve">para 2.1(8)). Unless it has been served as evidence, all relevant unused material should be listed on a schedule of unused material. </w:t>
      </w:r>
    </w:p>
    <w:p w14:paraId="2FC67E4F" w14:textId="77777777" w:rsidR="008063A3" w:rsidRPr="0084541D" w:rsidRDefault="008063A3" w:rsidP="0084541D">
      <w:pPr>
        <w:spacing w:line="360" w:lineRule="auto"/>
        <w:rPr>
          <w:rFonts w:cstheme="minorHAnsi"/>
          <w:b/>
          <w:bCs/>
          <w:i/>
          <w:iCs/>
        </w:rPr>
      </w:pPr>
    </w:p>
    <w:p w14:paraId="6CE858DD" w14:textId="77777777" w:rsidR="008063A3" w:rsidRPr="0084541D" w:rsidRDefault="008063A3" w:rsidP="0084541D">
      <w:pPr>
        <w:spacing w:line="360" w:lineRule="auto"/>
        <w:rPr>
          <w:rFonts w:cstheme="minorHAnsi"/>
          <w:b/>
          <w:bCs/>
        </w:rPr>
      </w:pPr>
    </w:p>
    <w:p w14:paraId="28A61105" w14:textId="77777777" w:rsidR="003F2912" w:rsidRPr="0084541D" w:rsidRDefault="00A751F0" w:rsidP="0084541D">
      <w:pPr>
        <w:spacing w:line="360" w:lineRule="auto"/>
        <w:rPr>
          <w:rFonts w:cstheme="minorHAnsi"/>
        </w:rPr>
      </w:pPr>
      <w:r w:rsidRPr="0084541D">
        <w:rPr>
          <w:rFonts w:cstheme="minorHAnsi"/>
        </w:rPr>
        <w:t xml:space="preserve">Material </w:t>
      </w:r>
      <w:r w:rsidR="008063A3" w:rsidRPr="0084541D">
        <w:rPr>
          <w:rFonts w:cstheme="minorHAnsi"/>
        </w:rPr>
        <w:t xml:space="preserve">and Relevant Material </w:t>
      </w:r>
      <w:r w:rsidRPr="0084541D">
        <w:rPr>
          <w:rFonts w:cstheme="minorHAnsi"/>
        </w:rPr>
        <w:t xml:space="preserve">gathered or generated by an investigation is </w:t>
      </w:r>
      <w:r w:rsidR="00C35105" w:rsidRPr="0084541D">
        <w:rPr>
          <w:rFonts w:cstheme="minorHAnsi"/>
        </w:rPr>
        <w:t xml:space="preserve">likely to include </w:t>
      </w:r>
      <w:r w:rsidR="00C35105" w:rsidRPr="0084541D">
        <w:rPr>
          <w:rFonts w:cstheme="minorHAnsi"/>
          <w:b/>
          <w:bCs/>
        </w:rPr>
        <w:t>personal data</w:t>
      </w:r>
      <w:r w:rsidR="007E2F99" w:rsidRPr="0084541D">
        <w:rPr>
          <w:rFonts w:cstheme="minorHAnsi"/>
          <w:b/>
          <w:bCs/>
        </w:rPr>
        <w:t>.</w:t>
      </w:r>
      <w:r w:rsidR="001B6CCB" w:rsidRPr="0084541D">
        <w:rPr>
          <w:rFonts w:cstheme="minorHAnsi"/>
          <w:b/>
          <w:bCs/>
        </w:rPr>
        <w:t xml:space="preserve"> </w:t>
      </w:r>
      <w:r w:rsidR="007E2F99" w:rsidRPr="0084541D">
        <w:rPr>
          <w:rFonts w:cstheme="minorHAnsi"/>
          <w:b/>
          <w:bCs/>
        </w:rPr>
        <w:t xml:space="preserve"> </w:t>
      </w:r>
      <w:r w:rsidR="00C35105" w:rsidRPr="0084541D">
        <w:rPr>
          <w:rFonts w:cstheme="minorHAnsi"/>
        </w:rPr>
        <w:t xml:space="preserve"> </w:t>
      </w:r>
    </w:p>
    <w:p w14:paraId="05E7B4AD" w14:textId="77777777" w:rsidR="003F2912" w:rsidRPr="0084541D" w:rsidRDefault="003F2912" w:rsidP="0084541D">
      <w:pPr>
        <w:spacing w:line="360" w:lineRule="auto"/>
        <w:rPr>
          <w:rFonts w:cstheme="minorHAnsi"/>
        </w:rPr>
      </w:pPr>
    </w:p>
    <w:p w14:paraId="250B0BBE" w14:textId="77777777" w:rsidR="00351AA9" w:rsidRPr="0084541D" w:rsidRDefault="00A751F0" w:rsidP="0084541D">
      <w:pPr>
        <w:spacing w:line="360" w:lineRule="auto"/>
        <w:rPr>
          <w:rFonts w:cstheme="minorHAnsi"/>
          <w:i/>
          <w:iCs/>
        </w:rPr>
      </w:pPr>
      <w:r w:rsidRPr="0084541D">
        <w:rPr>
          <w:rFonts w:cstheme="minorHAnsi"/>
          <w:b/>
          <w:bCs/>
          <w:i/>
          <w:iCs/>
        </w:rPr>
        <w:lastRenderedPageBreak/>
        <w:t xml:space="preserve">Personal Data </w:t>
      </w:r>
      <w:r w:rsidRPr="0084541D">
        <w:rPr>
          <w:rFonts w:cstheme="minorHAnsi"/>
          <w:i/>
          <w:iCs/>
        </w:rPr>
        <w:t xml:space="preserve">is defined by section </w:t>
      </w:r>
      <w:r w:rsidR="00351AA9" w:rsidRPr="0084541D">
        <w:rPr>
          <w:rFonts w:cstheme="minorHAnsi"/>
          <w:i/>
          <w:iCs/>
        </w:rPr>
        <w:t xml:space="preserve">3(2) and (3) of </w:t>
      </w:r>
      <w:r w:rsidRPr="0084541D">
        <w:rPr>
          <w:rFonts w:cstheme="minorHAnsi"/>
          <w:i/>
          <w:iCs/>
        </w:rPr>
        <w:t>DPA</w:t>
      </w:r>
      <w:r w:rsidR="00F73556" w:rsidRPr="0084541D">
        <w:rPr>
          <w:rFonts w:cstheme="minorHAnsi"/>
          <w:i/>
          <w:iCs/>
        </w:rPr>
        <w:t xml:space="preserve"> as </w:t>
      </w:r>
      <w:r w:rsidR="00351AA9" w:rsidRPr="0084541D">
        <w:rPr>
          <w:rFonts w:cstheme="minorHAnsi"/>
          <w:i/>
          <w:iCs/>
        </w:rPr>
        <w:t xml:space="preserve">any information relating to an identified or identifiable living individual. Identifiable living individual means a living individual who can be identified, directly or indirectly. </w:t>
      </w:r>
    </w:p>
    <w:p w14:paraId="33CE4906" w14:textId="77777777" w:rsidR="00A751F0" w:rsidRPr="0084541D" w:rsidRDefault="00A751F0" w:rsidP="0084541D">
      <w:pPr>
        <w:spacing w:line="360" w:lineRule="auto"/>
        <w:rPr>
          <w:rFonts w:cstheme="minorHAnsi"/>
        </w:rPr>
      </w:pPr>
    </w:p>
    <w:p w14:paraId="0BD42C39" w14:textId="77777777" w:rsidR="00A55926" w:rsidRPr="0084541D" w:rsidRDefault="00351AA9" w:rsidP="0084541D">
      <w:pPr>
        <w:spacing w:line="360" w:lineRule="auto"/>
        <w:rPr>
          <w:rFonts w:cstheme="minorHAnsi"/>
        </w:rPr>
      </w:pPr>
      <w:r w:rsidRPr="0084541D">
        <w:rPr>
          <w:rFonts w:cstheme="minorHAnsi"/>
        </w:rPr>
        <w:t>In gathering, retaining</w:t>
      </w:r>
      <w:r w:rsidR="000B657B">
        <w:rPr>
          <w:rFonts w:cstheme="minorHAnsi"/>
        </w:rPr>
        <w:t>,</w:t>
      </w:r>
      <w:r w:rsidRPr="0084541D">
        <w:rPr>
          <w:rFonts w:cstheme="minorHAnsi"/>
        </w:rPr>
        <w:t xml:space="preserve"> and reviewing personal data as well as disclosing or disseminating this material it is clear that the </w:t>
      </w:r>
      <w:r w:rsidR="00370E85">
        <w:rPr>
          <w:rFonts w:cstheme="minorHAnsi"/>
        </w:rPr>
        <w:t>Police</w:t>
      </w:r>
      <w:r w:rsidR="0065529A" w:rsidRPr="0084541D">
        <w:rPr>
          <w:rFonts w:cstheme="minorHAnsi"/>
        </w:rPr>
        <w:t xml:space="preserve"> and CPS</w:t>
      </w:r>
      <w:r w:rsidRPr="0084541D">
        <w:rPr>
          <w:rFonts w:cstheme="minorHAnsi"/>
        </w:rPr>
        <w:t xml:space="preserve"> will be </w:t>
      </w:r>
      <w:r w:rsidRPr="0084541D">
        <w:rPr>
          <w:rFonts w:cstheme="minorHAnsi"/>
          <w:b/>
          <w:bCs/>
        </w:rPr>
        <w:t>processing</w:t>
      </w:r>
      <w:r w:rsidRPr="0084541D">
        <w:rPr>
          <w:rFonts w:cstheme="minorHAnsi"/>
        </w:rPr>
        <w:t xml:space="preserve"> that information</w:t>
      </w:r>
      <w:r w:rsidR="00F73556" w:rsidRPr="0084541D">
        <w:rPr>
          <w:rFonts w:cstheme="minorHAnsi"/>
        </w:rPr>
        <w:t xml:space="preserve"> (DPA, s. 3(4))</w:t>
      </w:r>
      <w:r w:rsidRPr="0084541D">
        <w:rPr>
          <w:rFonts w:cstheme="minorHAnsi"/>
        </w:rPr>
        <w:t xml:space="preserve">. </w:t>
      </w:r>
    </w:p>
    <w:p w14:paraId="65B12D4B" w14:textId="77777777" w:rsidR="00351AA9" w:rsidRPr="0084541D" w:rsidRDefault="00351AA9" w:rsidP="0084541D">
      <w:pPr>
        <w:spacing w:line="360" w:lineRule="auto"/>
        <w:rPr>
          <w:rFonts w:cstheme="minorHAnsi"/>
        </w:rPr>
      </w:pPr>
    </w:p>
    <w:p w14:paraId="592384FD" w14:textId="77777777" w:rsidR="008940C5" w:rsidRPr="0084541D" w:rsidRDefault="00D63C46" w:rsidP="0084541D">
      <w:pPr>
        <w:spacing w:line="360" w:lineRule="auto"/>
        <w:rPr>
          <w:rFonts w:cstheme="minorHAnsi"/>
        </w:rPr>
      </w:pPr>
      <w:r w:rsidRPr="0084541D">
        <w:rPr>
          <w:rFonts w:cstheme="minorHAnsi"/>
        </w:rPr>
        <w:t xml:space="preserve">The material gathered by an investigation may also involve </w:t>
      </w:r>
      <w:r w:rsidRPr="0084541D">
        <w:rPr>
          <w:rFonts w:cstheme="minorHAnsi"/>
          <w:b/>
          <w:bCs/>
        </w:rPr>
        <w:t>sensitive processing</w:t>
      </w:r>
      <w:r w:rsidRPr="0084541D">
        <w:rPr>
          <w:rFonts w:cstheme="minorHAnsi"/>
        </w:rPr>
        <w:t xml:space="preserve">. </w:t>
      </w:r>
    </w:p>
    <w:p w14:paraId="42B1C995" w14:textId="77777777" w:rsidR="008940C5" w:rsidRPr="0084541D" w:rsidRDefault="008940C5" w:rsidP="0084541D">
      <w:pPr>
        <w:spacing w:line="360" w:lineRule="auto"/>
        <w:rPr>
          <w:rFonts w:cstheme="minorHAnsi"/>
        </w:rPr>
      </w:pPr>
    </w:p>
    <w:p w14:paraId="398F33A5" w14:textId="77777777" w:rsidR="00D63C46" w:rsidRPr="0084541D" w:rsidRDefault="00D63C46" w:rsidP="0084541D">
      <w:pPr>
        <w:spacing w:line="360" w:lineRule="auto"/>
        <w:rPr>
          <w:rFonts w:cstheme="minorHAnsi"/>
          <w:i/>
          <w:iCs/>
        </w:rPr>
      </w:pPr>
      <w:r w:rsidRPr="0084541D">
        <w:rPr>
          <w:rFonts w:cstheme="minorHAnsi"/>
          <w:i/>
          <w:iCs/>
        </w:rPr>
        <w:t xml:space="preserve">Sensitive Processing is defined in </w:t>
      </w:r>
      <w:r w:rsidR="00E047CB" w:rsidRPr="0084541D">
        <w:rPr>
          <w:rFonts w:cstheme="minorHAnsi"/>
          <w:i/>
          <w:iCs/>
        </w:rPr>
        <w:t>DPA, s.</w:t>
      </w:r>
      <w:r w:rsidRPr="0084541D">
        <w:rPr>
          <w:rFonts w:cstheme="minorHAnsi"/>
          <w:i/>
          <w:iCs/>
        </w:rPr>
        <w:t xml:space="preserve"> 35(8) as</w:t>
      </w:r>
      <w:r w:rsidR="008940C5" w:rsidRPr="0084541D">
        <w:rPr>
          <w:rFonts w:cstheme="minorHAnsi"/>
          <w:i/>
          <w:iCs/>
        </w:rPr>
        <w:t xml:space="preserve"> the processing of </w:t>
      </w:r>
      <w:r w:rsidR="008940C5" w:rsidRPr="0084541D">
        <w:rPr>
          <w:rFonts w:cstheme="minorHAnsi"/>
          <w:b/>
          <w:bCs/>
          <w:i/>
          <w:iCs/>
        </w:rPr>
        <w:t>personal data</w:t>
      </w:r>
      <w:r w:rsidR="008940C5" w:rsidRPr="0084541D">
        <w:rPr>
          <w:rFonts w:cstheme="minorHAnsi"/>
          <w:i/>
          <w:iCs/>
        </w:rPr>
        <w:t xml:space="preserve"> that reveals racial or ethnic origin, political opinions, religious of philosophical beliefs or trade union membership. It also relates to the processing of genetic data, the processing of health data and data concerning an </w:t>
      </w:r>
      <w:r w:rsidR="000B657B" w:rsidRPr="0084541D">
        <w:rPr>
          <w:rFonts w:cstheme="minorHAnsi"/>
          <w:i/>
          <w:iCs/>
        </w:rPr>
        <w:t>individual’s</w:t>
      </w:r>
      <w:r w:rsidR="008940C5" w:rsidRPr="0084541D">
        <w:rPr>
          <w:rFonts w:cstheme="minorHAnsi"/>
          <w:i/>
          <w:iCs/>
        </w:rPr>
        <w:t xml:space="preserve"> sex life or orientation. </w:t>
      </w:r>
    </w:p>
    <w:p w14:paraId="45BD049A" w14:textId="77777777" w:rsidR="00D63C46" w:rsidRPr="0084541D" w:rsidRDefault="00D63C46" w:rsidP="0084541D">
      <w:pPr>
        <w:spacing w:line="360" w:lineRule="auto"/>
        <w:rPr>
          <w:rFonts w:cstheme="minorHAnsi"/>
        </w:rPr>
      </w:pPr>
    </w:p>
    <w:p w14:paraId="7F66629B" w14:textId="77777777" w:rsidR="00DD3C2D" w:rsidRPr="0084541D" w:rsidRDefault="009E4CAD" w:rsidP="0084541D">
      <w:pPr>
        <w:spacing w:line="360" w:lineRule="auto"/>
        <w:rPr>
          <w:rFonts w:cstheme="minorHAnsi"/>
          <w:b/>
          <w:bCs/>
        </w:rPr>
      </w:pPr>
      <w:hyperlink r:id="rId7" w:history="1">
        <w:r w:rsidR="00705B18" w:rsidRPr="0084541D">
          <w:rPr>
            <w:rStyle w:val="Hyperlink"/>
            <w:rFonts w:cstheme="minorHAnsi"/>
          </w:rPr>
          <w:t>Part 3 of the DPA</w:t>
        </w:r>
      </w:hyperlink>
      <w:r w:rsidR="00705B18" w:rsidRPr="0084541D">
        <w:rPr>
          <w:rFonts w:cstheme="minorHAnsi"/>
        </w:rPr>
        <w:t xml:space="preserve"> </w:t>
      </w:r>
      <w:r w:rsidR="008940C5" w:rsidRPr="0084541D">
        <w:rPr>
          <w:rFonts w:cstheme="minorHAnsi"/>
        </w:rPr>
        <w:t>establishe</w:t>
      </w:r>
      <w:r w:rsidR="00DD3C2D" w:rsidRPr="0084541D">
        <w:rPr>
          <w:rFonts w:cstheme="minorHAnsi"/>
        </w:rPr>
        <w:t xml:space="preserve">s </w:t>
      </w:r>
      <w:r w:rsidR="008940C5" w:rsidRPr="0084541D">
        <w:rPr>
          <w:rFonts w:cstheme="minorHAnsi"/>
        </w:rPr>
        <w:t xml:space="preserve">six data protection principles. The </w:t>
      </w:r>
      <w:r w:rsidR="008940C5" w:rsidRPr="0084541D">
        <w:rPr>
          <w:rFonts w:cstheme="minorHAnsi"/>
          <w:b/>
          <w:bCs/>
        </w:rPr>
        <w:t xml:space="preserve">first data protection principle </w:t>
      </w:r>
      <w:r w:rsidR="00DD3C2D" w:rsidRPr="0084541D">
        <w:rPr>
          <w:rFonts w:cstheme="minorHAnsi"/>
        </w:rPr>
        <w:t>(</w:t>
      </w:r>
      <w:r w:rsidR="00E047CB" w:rsidRPr="0084541D">
        <w:rPr>
          <w:rFonts w:cstheme="minorHAnsi"/>
        </w:rPr>
        <w:t>DPA s. 35</w:t>
      </w:r>
      <w:r w:rsidR="00DD3C2D" w:rsidRPr="0084541D">
        <w:rPr>
          <w:rFonts w:cstheme="minorHAnsi"/>
        </w:rPr>
        <w:t>) states that the processing of personal data must be lawful and fair. Processing for a law enforcement process is lawful if it is based on law (</w:t>
      </w:r>
      <w:r w:rsidR="00E047CB" w:rsidRPr="0084541D">
        <w:rPr>
          <w:rFonts w:cstheme="minorHAnsi"/>
        </w:rPr>
        <w:t>DPA, s.</w:t>
      </w:r>
      <w:r w:rsidR="00DD3C2D" w:rsidRPr="0084541D">
        <w:rPr>
          <w:rFonts w:cstheme="minorHAnsi"/>
        </w:rPr>
        <w:t xml:space="preserve">35(2)) and either the data owner has given </w:t>
      </w:r>
      <w:r w:rsidR="000B657B" w:rsidRPr="0084541D">
        <w:rPr>
          <w:rFonts w:cstheme="minorHAnsi"/>
        </w:rPr>
        <w:t>consent,</w:t>
      </w:r>
      <w:r w:rsidR="00DD3C2D" w:rsidRPr="0084541D">
        <w:rPr>
          <w:rFonts w:cstheme="minorHAnsi"/>
        </w:rPr>
        <w:t xml:space="preserve"> or the processing is necessary. It also sets out the additional requirements in relation to </w:t>
      </w:r>
      <w:r w:rsidR="00DD3C2D" w:rsidRPr="0084541D">
        <w:rPr>
          <w:rFonts w:cstheme="minorHAnsi"/>
          <w:b/>
          <w:bCs/>
        </w:rPr>
        <w:t xml:space="preserve">sensitive processing, </w:t>
      </w:r>
    </w:p>
    <w:p w14:paraId="15E1CC46" w14:textId="77777777" w:rsidR="00DD3C2D" w:rsidRPr="0084541D" w:rsidRDefault="00DD3C2D" w:rsidP="0084541D">
      <w:pPr>
        <w:spacing w:line="360" w:lineRule="auto"/>
        <w:rPr>
          <w:rFonts w:cstheme="minorHAnsi"/>
          <w:b/>
          <w:bCs/>
        </w:rPr>
      </w:pPr>
    </w:p>
    <w:p w14:paraId="12664591" w14:textId="77777777" w:rsidR="00AF5D4A" w:rsidRPr="0084541D" w:rsidRDefault="00DD3C2D" w:rsidP="0084541D">
      <w:pPr>
        <w:spacing w:line="360" w:lineRule="auto"/>
        <w:rPr>
          <w:rFonts w:cstheme="minorHAnsi"/>
        </w:rPr>
      </w:pPr>
      <w:r w:rsidRPr="0084541D">
        <w:rPr>
          <w:rFonts w:cstheme="minorHAnsi"/>
        </w:rPr>
        <w:t xml:space="preserve">The sharing and disclosure </w:t>
      </w:r>
      <w:r w:rsidR="00E2614C" w:rsidRPr="0084541D">
        <w:rPr>
          <w:rFonts w:cstheme="minorHAnsi"/>
        </w:rPr>
        <w:t>of</w:t>
      </w:r>
      <w:r w:rsidRPr="0084541D">
        <w:rPr>
          <w:rFonts w:cstheme="minorHAnsi"/>
        </w:rPr>
        <w:t xml:space="preserve"> personal data by the </w:t>
      </w:r>
      <w:r w:rsidR="00370E85">
        <w:rPr>
          <w:rFonts w:cstheme="minorHAnsi"/>
        </w:rPr>
        <w:t>Police</w:t>
      </w:r>
      <w:r w:rsidRPr="0084541D">
        <w:rPr>
          <w:rFonts w:cstheme="minorHAnsi"/>
        </w:rPr>
        <w:t xml:space="preserve"> and/or the CPS will generally be lawful </w:t>
      </w:r>
      <w:r w:rsidR="00F831E1" w:rsidRPr="0084541D">
        <w:rPr>
          <w:rFonts w:cstheme="minorHAnsi"/>
        </w:rPr>
        <w:t xml:space="preserve">and fair </w:t>
      </w:r>
      <w:r w:rsidRPr="0084541D">
        <w:rPr>
          <w:rFonts w:cstheme="minorHAnsi"/>
        </w:rPr>
        <w:t>where this is undertaken in order to</w:t>
      </w:r>
      <w:r w:rsidR="00F73556" w:rsidRPr="0084541D">
        <w:rPr>
          <w:rFonts w:cstheme="minorHAnsi"/>
        </w:rPr>
        <w:t>:</w:t>
      </w:r>
      <w:r w:rsidRPr="0084541D">
        <w:rPr>
          <w:rFonts w:cstheme="minorHAnsi"/>
        </w:rPr>
        <w:t xml:space="preserve"> </w:t>
      </w:r>
    </w:p>
    <w:p w14:paraId="78877EA0" w14:textId="77777777" w:rsidR="00AF5D4A" w:rsidRPr="0084541D" w:rsidRDefault="00AF5D4A" w:rsidP="00370E85">
      <w:pPr>
        <w:pStyle w:val="ListParagraph"/>
        <w:numPr>
          <w:ilvl w:val="0"/>
          <w:numId w:val="9"/>
        </w:numPr>
        <w:spacing w:line="360" w:lineRule="auto"/>
        <w:ind w:left="567" w:hanging="283"/>
        <w:rPr>
          <w:rFonts w:asciiTheme="minorHAnsi" w:hAnsiTheme="minorHAnsi" w:cstheme="minorHAnsi"/>
          <w:sz w:val="22"/>
          <w:szCs w:val="22"/>
        </w:rPr>
      </w:pPr>
      <w:r w:rsidRPr="0084541D">
        <w:rPr>
          <w:rFonts w:asciiTheme="minorHAnsi" w:hAnsiTheme="minorHAnsi" w:cstheme="minorHAnsi"/>
          <w:sz w:val="22"/>
          <w:szCs w:val="22"/>
        </w:rPr>
        <w:t>establish an element of an offence;</w:t>
      </w:r>
      <w:r w:rsidR="00F831E1" w:rsidRPr="0084541D">
        <w:rPr>
          <w:rFonts w:asciiTheme="minorHAnsi" w:hAnsiTheme="minorHAnsi" w:cstheme="minorHAnsi"/>
          <w:sz w:val="22"/>
          <w:szCs w:val="22"/>
        </w:rPr>
        <w:t xml:space="preserve"> </w:t>
      </w:r>
      <w:r w:rsidR="0065529A" w:rsidRPr="0084541D">
        <w:rPr>
          <w:rFonts w:asciiTheme="minorHAnsi" w:hAnsiTheme="minorHAnsi" w:cstheme="minorHAnsi"/>
          <w:sz w:val="22"/>
          <w:szCs w:val="22"/>
        </w:rPr>
        <w:t>t</w:t>
      </w:r>
      <w:r w:rsidR="00F831E1" w:rsidRPr="0084541D">
        <w:rPr>
          <w:rFonts w:asciiTheme="minorHAnsi" w:hAnsiTheme="minorHAnsi" w:cstheme="minorHAnsi"/>
          <w:sz w:val="22"/>
          <w:szCs w:val="22"/>
        </w:rPr>
        <w:t>he disclosure may</w:t>
      </w:r>
      <w:r w:rsidR="0065529A" w:rsidRPr="0084541D">
        <w:rPr>
          <w:rFonts w:asciiTheme="minorHAnsi" w:hAnsiTheme="minorHAnsi" w:cstheme="minorHAnsi"/>
          <w:sz w:val="22"/>
          <w:szCs w:val="22"/>
        </w:rPr>
        <w:t xml:space="preserve"> be</w:t>
      </w:r>
      <w:r w:rsidR="00F831E1" w:rsidRPr="0084541D">
        <w:rPr>
          <w:rFonts w:asciiTheme="minorHAnsi" w:hAnsiTheme="minorHAnsi" w:cstheme="minorHAnsi"/>
          <w:sz w:val="22"/>
          <w:szCs w:val="22"/>
        </w:rPr>
        <w:t xml:space="preserve"> necessary for the CPS to make a charging decision or comply with a continuing duty of review (Annex 3; 4 and 5 of DG6 provide further guidance on what material and information is required);</w:t>
      </w:r>
    </w:p>
    <w:p w14:paraId="0111ADC0" w14:textId="77777777" w:rsidR="00AF5D4A" w:rsidRPr="0084541D" w:rsidRDefault="00AF5D4A" w:rsidP="00370E85">
      <w:pPr>
        <w:pStyle w:val="ListParagraph"/>
        <w:numPr>
          <w:ilvl w:val="0"/>
          <w:numId w:val="9"/>
        </w:numPr>
        <w:spacing w:line="360" w:lineRule="auto"/>
        <w:ind w:left="567" w:hanging="283"/>
        <w:rPr>
          <w:rFonts w:asciiTheme="minorHAnsi" w:hAnsiTheme="minorHAnsi" w:cstheme="minorHAnsi"/>
          <w:sz w:val="22"/>
          <w:szCs w:val="22"/>
        </w:rPr>
      </w:pPr>
      <w:r w:rsidRPr="0084541D">
        <w:rPr>
          <w:rFonts w:asciiTheme="minorHAnsi" w:hAnsiTheme="minorHAnsi" w:cstheme="minorHAnsi"/>
          <w:sz w:val="22"/>
          <w:szCs w:val="22"/>
        </w:rPr>
        <w:t>explain the context of the offence or offending behaviour;</w:t>
      </w:r>
    </w:p>
    <w:p w14:paraId="1E434856" w14:textId="77777777" w:rsidR="00AF5D4A" w:rsidRPr="0084541D" w:rsidRDefault="00AF5D4A" w:rsidP="00370E85">
      <w:pPr>
        <w:pStyle w:val="ListParagraph"/>
        <w:numPr>
          <w:ilvl w:val="0"/>
          <w:numId w:val="9"/>
        </w:numPr>
        <w:spacing w:line="360" w:lineRule="auto"/>
        <w:ind w:left="567" w:hanging="283"/>
        <w:rPr>
          <w:rFonts w:asciiTheme="minorHAnsi" w:hAnsiTheme="minorHAnsi" w:cstheme="minorHAnsi"/>
          <w:sz w:val="22"/>
          <w:szCs w:val="22"/>
        </w:rPr>
      </w:pPr>
      <w:r w:rsidRPr="0084541D">
        <w:rPr>
          <w:rFonts w:asciiTheme="minorHAnsi" w:hAnsiTheme="minorHAnsi" w:cstheme="minorHAnsi"/>
          <w:sz w:val="22"/>
          <w:szCs w:val="22"/>
        </w:rPr>
        <w:t xml:space="preserve">enable a case to be presented in a way which gives the court sufficient sentencing powers; or </w:t>
      </w:r>
    </w:p>
    <w:p w14:paraId="163ADDD1" w14:textId="77777777" w:rsidR="00E2614C" w:rsidRPr="0084541D" w:rsidRDefault="00DD3C2D" w:rsidP="00370E85">
      <w:pPr>
        <w:pStyle w:val="ListParagraph"/>
        <w:numPr>
          <w:ilvl w:val="0"/>
          <w:numId w:val="9"/>
        </w:numPr>
        <w:spacing w:line="360" w:lineRule="auto"/>
        <w:ind w:left="567" w:hanging="283"/>
        <w:rPr>
          <w:rFonts w:asciiTheme="minorHAnsi" w:hAnsiTheme="minorHAnsi" w:cstheme="minorHAnsi"/>
          <w:sz w:val="22"/>
          <w:szCs w:val="22"/>
        </w:rPr>
      </w:pPr>
      <w:r w:rsidRPr="0084541D">
        <w:rPr>
          <w:rFonts w:asciiTheme="minorHAnsi" w:hAnsiTheme="minorHAnsi" w:cstheme="minorHAnsi"/>
          <w:sz w:val="22"/>
          <w:szCs w:val="22"/>
        </w:rPr>
        <w:t xml:space="preserve">comply with CPIA </w:t>
      </w:r>
      <w:r w:rsidR="00302EAE" w:rsidRPr="0084541D">
        <w:rPr>
          <w:rFonts w:asciiTheme="minorHAnsi" w:hAnsiTheme="minorHAnsi" w:cstheme="minorHAnsi"/>
          <w:sz w:val="22"/>
          <w:szCs w:val="22"/>
        </w:rPr>
        <w:t xml:space="preserve">1996, CPIA Code </w:t>
      </w:r>
      <w:r w:rsidRPr="0084541D">
        <w:rPr>
          <w:rFonts w:asciiTheme="minorHAnsi" w:hAnsiTheme="minorHAnsi" w:cstheme="minorHAnsi"/>
          <w:sz w:val="22"/>
          <w:szCs w:val="22"/>
        </w:rPr>
        <w:t xml:space="preserve">or other statutory or common law </w:t>
      </w:r>
      <w:r w:rsidR="00AF5D4A" w:rsidRPr="0084541D">
        <w:rPr>
          <w:rFonts w:asciiTheme="minorHAnsi" w:hAnsiTheme="minorHAnsi" w:cstheme="minorHAnsi"/>
          <w:sz w:val="22"/>
          <w:szCs w:val="22"/>
        </w:rPr>
        <w:t xml:space="preserve">disclosure </w:t>
      </w:r>
      <w:r w:rsidRPr="0084541D">
        <w:rPr>
          <w:rFonts w:asciiTheme="minorHAnsi" w:hAnsiTheme="minorHAnsi" w:cstheme="minorHAnsi"/>
          <w:sz w:val="22"/>
          <w:szCs w:val="22"/>
        </w:rPr>
        <w:t xml:space="preserve">obligations </w:t>
      </w:r>
      <w:r w:rsidR="00E2614C" w:rsidRPr="0084541D">
        <w:rPr>
          <w:rFonts w:asciiTheme="minorHAnsi" w:hAnsiTheme="minorHAnsi" w:cstheme="minorHAnsi"/>
          <w:sz w:val="22"/>
          <w:szCs w:val="22"/>
        </w:rPr>
        <w:t>as part of the organisations law enforcement functions.</w:t>
      </w:r>
    </w:p>
    <w:p w14:paraId="6B5C6058" w14:textId="77777777" w:rsidR="00E2614C" w:rsidRPr="0084541D" w:rsidRDefault="00E2614C" w:rsidP="0084541D">
      <w:pPr>
        <w:spacing w:line="360" w:lineRule="auto"/>
        <w:rPr>
          <w:rFonts w:cstheme="minorHAnsi"/>
        </w:rPr>
      </w:pPr>
    </w:p>
    <w:p w14:paraId="51E9081E" w14:textId="77777777" w:rsidR="00F73556" w:rsidRPr="0084541D" w:rsidRDefault="00E047CB" w:rsidP="0084541D">
      <w:pPr>
        <w:overflowPunct w:val="0"/>
        <w:autoSpaceDE w:val="0"/>
        <w:autoSpaceDN w:val="0"/>
        <w:adjustRightInd w:val="0"/>
        <w:spacing w:line="360" w:lineRule="auto"/>
        <w:textAlignment w:val="baseline"/>
        <w:rPr>
          <w:rFonts w:eastAsia="Times New Roman" w:cstheme="minorHAnsi"/>
          <w:lang w:eastAsia="en-GB"/>
        </w:rPr>
      </w:pPr>
      <w:r w:rsidRPr="0084541D">
        <w:rPr>
          <w:rFonts w:eastAsia="Times New Roman" w:cstheme="minorHAnsi"/>
          <w:lang w:eastAsia="en-GB"/>
        </w:rPr>
        <w:t>I</w:t>
      </w:r>
      <w:r w:rsidR="00F73556" w:rsidRPr="0084541D">
        <w:rPr>
          <w:rFonts w:eastAsia="Times New Roman" w:cstheme="minorHAnsi"/>
          <w:lang w:eastAsia="en-GB"/>
        </w:rPr>
        <w:t>t follows that if material or information is either</w:t>
      </w:r>
      <w:r w:rsidR="0065529A" w:rsidRPr="0084541D">
        <w:rPr>
          <w:rFonts w:eastAsia="Times New Roman" w:cstheme="minorHAnsi"/>
          <w:lang w:eastAsia="en-GB"/>
        </w:rPr>
        <w:t>:</w:t>
      </w:r>
      <w:r w:rsidR="00F73556" w:rsidRPr="0084541D">
        <w:rPr>
          <w:rFonts w:eastAsia="Times New Roman" w:cstheme="minorHAnsi"/>
          <w:lang w:eastAsia="en-GB"/>
        </w:rPr>
        <w:t xml:space="preserve"> </w:t>
      </w:r>
    </w:p>
    <w:p w14:paraId="73E93798" w14:textId="77777777" w:rsidR="00F73556" w:rsidRPr="0084541D" w:rsidRDefault="00F73556" w:rsidP="0084541D">
      <w:pPr>
        <w:pStyle w:val="ListParagraph"/>
        <w:numPr>
          <w:ilvl w:val="0"/>
          <w:numId w:val="13"/>
        </w:numPr>
        <w:overflowPunct w:val="0"/>
        <w:autoSpaceDE w:val="0"/>
        <w:autoSpaceDN w:val="0"/>
        <w:adjustRightInd w:val="0"/>
        <w:spacing w:line="360" w:lineRule="auto"/>
        <w:contextualSpacing w:val="0"/>
        <w:textAlignment w:val="baseline"/>
        <w:rPr>
          <w:rFonts w:asciiTheme="minorHAnsi" w:hAnsiTheme="minorHAnsi" w:cstheme="minorHAnsi"/>
          <w:sz w:val="22"/>
          <w:szCs w:val="22"/>
        </w:rPr>
      </w:pPr>
      <w:r w:rsidRPr="0084541D">
        <w:rPr>
          <w:rFonts w:asciiTheme="minorHAnsi" w:hAnsiTheme="minorHAnsi" w:cstheme="minorHAnsi"/>
          <w:sz w:val="22"/>
          <w:szCs w:val="22"/>
        </w:rPr>
        <w:t>evidence in the case; or</w:t>
      </w:r>
    </w:p>
    <w:p w14:paraId="5506B41C" w14:textId="77777777" w:rsidR="00F73556" w:rsidRPr="0084541D" w:rsidRDefault="00F73556" w:rsidP="0084541D">
      <w:pPr>
        <w:pStyle w:val="ListParagraph"/>
        <w:numPr>
          <w:ilvl w:val="0"/>
          <w:numId w:val="13"/>
        </w:numPr>
        <w:overflowPunct w:val="0"/>
        <w:autoSpaceDE w:val="0"/>
        <w:autoSpaceDN w:val="0"/>
        <w:adjustRightInd w:val="0"/>
        <w:spacing w:line="360" w:lineRule="auto"/>
        <w:contextualSpacing w:val="0"/>
        <w:textAlignment w:val="baseline"/>
        <w:rPr>
          <w:rFonts w:asciiTheme="minorHAnsi" w:hAnsiTheme="minorHAnsi" w:cstheme="minorHAnsi"/>
          <w:sz w:val="22"/>
          <w:szCs w:val="22"/>
        </w:rPr>
      </w:pPr>
      <w:r w:rsidRPr="0084541D">
        <w:rPr>
          <w:rFonts w:asciiTheme="minorHAnsi" w:hAnsiTheme="minorHAnsi" w:cstheme="minorHAnsi"/>
          <w:sz w:val="22"/>
          <w:szCs w:val="22"/>
        </w:rPr>
        <w:t xml:space="preserve">unused material which meets the test for disclosure </w:t>
      </w:r>
    </w:p>
    <w:p w14:paraId="7D38739B" w14:textId="77777777" w:rsidR="00F73556" w:rsidRPr="0084541D" w:rsidRDefault="00F73556" w:rsidP="0084541D">
      <w:pPr>
        <w:overflowPunct w:val="0"/>
        <w:autoSpaceDE w:val="0"/>
        <w:autoSpaceDN w:val="0"/>
        <w:adjustRightInd w:val="0"/>
        <w:spacing w:line="360" w:lineRule="auto"/>
        <w:ind w:left="360"/>
        <w:textAlignment w:val="baseline"/>
        <w:rPr>
          <w:rFonts w:eastAsia="Times New Roman" w:cstheme="minorHAnsi"/>
          <w:lang w:eastAsia="en-GB"/>
        </w:rPr>
      </w:pPr>
    </w:p>
    <w:p w14:paraId="79B7EE8D" w14:textId="77777777" w:rsidR="00F73556" w:rsidRPr="0084541D" w:rsidRDefault="00F73556" w:rsidP="0084541D">
      <w:pPr>
        <w:overflowPunct w:val="0"/>
        <w:autoSpaceDE w:val="0"/>
        <w:autoSpaceDN w:val="0"/>
        <w:adjustRightInd w:val="0"/>
        <w:spacing w:line="360" w:lineRule="auto"/>
        <w:ind w:left="360"/>
        <w:textAlignment w:val="baseline"/>
        <w:rPr>
          <w:rFonts w:eastAsia="Times New Roman" w:cstheme="minorHAnsi"/>
          <w:lang w:eastAsia="en-GB"/>
        </w:rPr>
      </w:pPr>
      <w:r w:rsidRPr="0084541D">
        <w:rPr>
          <w:rFonts w:eastAsia="Times New Roman" w:cstheme="minorHAnsi"/>
          <w:lang w:eastAsia="en-GB"/>
        </w:rPr>
        <w:t xml:space="preserve">and it includes personal data or sensitive personal data which </w:t>
      </w:r>
      <w:r w:rsidR="00E047CB" w:rsidRPr="0084541D">
        <w:rPr>
          <w:rFonts w:eastAsia="Times New Roman" w:cstheme="minorHAnsi"/>
          <w:lang w:eastAsia="en-GB"/>
        </w:rPr>
        <w:t xml:space="preserve">does not need to be disclosed for a </w:t>
      </w:r>
      <w:r w:rsidRPr="0084541D">
        <w:rPr>
          <w:rFonts w:eastAsia="Times New Roman" w:cstheme="minorHAnsi"/>
          <w:lang w:eastAsia="en-GB"/>
        </w:rPr>
        <w:t xml:space="preserve">law enforcement purpose, the material or information cannot be sent to the CPS  until the personal data or sensitive personal data is redacted from the material or information.  </w:t>
      </w:r>
    </w:p>
    <w:p w14:paraId="20479122" w14:textId="77777777" w:rsidR="00DD495D" w:rsidRPr="0084541D" w:rsidRDefault="00DD495D" w:rsidP="0084541D">
      <w:pPr>
        <w:overflowPunct w:val="0"/>
        <w:autoSpaceDE w:val="0"/>
        <w:autoSpaceDN w:val="0"/>
        <w:adjustRightInd w:val="0"/>
        <w:spacing w:line="360" w:lineRule="auto"/>
        <w:textAlignment w:val="baseline"/>
        <w:rPr>
          <w:rFonts w:eastAsia="Times New Roman" w:cstheme="minorHAnsi"/>
          <w:lang w:eastAsia="en-GB"/>
        </w:rPr>
      </w:pPr>
      <w:r w:rsidRPr="0084541D">
        <w:rPr>
          <w:rFonts w:eastAsia="Times New Roman" w:cstheme="minorHAnsi"/>
          <w:lang w:eastAsia="en-GB"/>
        </w:rPr>
        <w:t xml:space="preserve"> </w:t>
      </w:r>
    </w:p>
    <w:p w14:paraId="74978D34" w14:textId="77777777" w:rsidR="00DD495D" w:rsidRPr="0084541D" w:rsidRDefault="00DD495D" w:rsidP="0084541D">
      <w:pPr>
        <w:overflowPunct w:val="0"/>
        <w:autoSpaceDE w:val="0"/>
        <w:autoSpaceDN w:val="0"/>
        <w:adjustRightInd w:val="0"/>
        <w:spacing w:line="360" w:lineRule="auto"/>
        <w:textAlignment w:val="baseline"/>
        <w:rPr>
          <w:rFonts w:eastAsia="Times New Roman" w:cstheme="minorHAnsi"/>
          <w:lang w:eastAsia="en-GB"/>
        </w:rPr>
      </w:pPr>
    </w:p>
    <w:p w14:paraId="75110B82" w14:textId="77777777" w:rsidR="00DD495D" w:rsidRPr="0084541D" w:rsidRDefault="00E2614C" w:rsidP="0084541D">
      <w:pPr>
        <w:overflowPunct w:val="0"/>
        <w:autoSpaceDE w:val="0"/>
        <w:autoSpaceDN w:val="0"/>
        <w:adjustRightInd w:val="0"/>
        <w:spacing w:line="360" w:lineRule="auto"/>
        <w:textAlignment w:val="baseline"/>
        <w:rPr>
          <w:rFonts w:eastAsia="Times New Roman" w:cstheme="minorHAnsi"/>
          <w:lang w:eastAsia="en-GB"/>
        </w:rPr>
      </w:pPr>
      <w:r w:rsidRPr="0084541D">
        <w:rPr>
          <w:rFonts w:eastAsia="Times New Roman" w:cstheme="minorHAnsi"/>
          <w:lang w:eastAsia="en-GB"/>
        </w:rPr>
        <w:t xml:space="preserve">Similarly, the disclosure of personal data from the CPS to the defence or other third party will be lawful and fair if it is necessary and relevant for any law enforcement </w:t>
      </w:r>
      <w:r w:rsidR="00F831E1" w:rsidRPr="0084541D">
        <w:rPr>
          <w:rFonts w:eastAsia="Times New Roman" w:cstheme="minorHAnsi"/>
          <w:lang w:eastAsia="en-GB"/>
        </w:rPr>
        <w:t xml:space="preserve">purpose. </w:t>
      </w:r>
      <w:r w:rsidR="00AB0771" w:rsidRPr="0084541D">
        <w:rPr>
          <w:rFonts w:eastAsia="Times New Roman" w:cstheme="minorHAnsi"/>
          <w:lang w:eastAsia="en-GB"/>
        </w:rPr>
        <w:t xml:space="preserve">This </w:t>
      </w:r>
      <w:r w:rsidRPr="0084541D">
        <w:rPr>
          <w:rFonts w:eastAsia="Times New Roman" w:cstheme="minorHAnsi"/>
          <w:lang w:eastAsia="en-GB"/>
        </w:rPr>
        <w:t xml:space="preserve">will include service of personal data </w:t>
      </w:r>
      <w:r w:rsidR="008063A3" w:rsidRPr="0084541D">
        <w:rPr>
          <w:rFonts w:eastAsia="Times New Roman" w:cstheme="minorHAnsi"/>
          <w:lang w:eastAsia="en-GB"/>
        </w:rPr>
        <w:t xml:space="preserve">required as evidence to prosecute a case and the service of personal data that meets the </w:t>
      </w:r>
      <w:r w:rsidR="008063A3" w:rsidRPr="0084541D">
        <w:rPr>
          <w:rFonts w:eastAsia="Times New Roman" w:cstheme="minorHAnsi"/>
          <w:b/>
          <w:bCs/>
          <w:lang w:eastAsia="en-GB"/>
        </w:rPr>
        <w:t>test for disclosure</w:t>
      </w:r>
      <w:r w:rsidR="008063A3" w:rsidRPr="0084541D">
        <w:rPr>
          <w:rFonts w:eastAsia="Times New Roman" w:cstheme="minorHAnsi"/>
          <w:lang w:eastAsia="en-GB"/>
        </w:rPr>
        <w:t xml:space="preserve"> under </w:t>
      </w:r>
      <w:r w:rsidR="00F831E1" w:rsidRPr="0084541D">
        <w:rPr>
          <w:rFonts w:eastAsia="Times New Roman" w:cstheme="minorHAnsi"/>
          <w:lang w:eastAsia="en-GB"/>
        </w:rPr>
        <w:t xml:space="preserve">either common law or </w:t>
      </w:r>
      <w:r w:rsidR="008063A3" w:rsidRPr="0084541D">
        <w:rPr>
          <w:rFonts w:eastAsia="Times New Roman" w:cstheme="minorHAnsi"/>
          <w:lang w:eastAsia="en-GB"/>
        </w:rPr>
        <w:t>CPIA</w:t>
      </w:r>
      <w:r w:rsidR="00302EAE" w:rsidRPr="0084541D">
        <w:rPr>
          <w:rFonts w:eastAsia="Times New Roman" w:cstheme="minorHAnsi"/>
          <w:lang w:eastAsia="en-GB"/>
        </w:rPr>
        <w:t xml:space="preserve"> 1996</w:t>
      </w:r>
      <w:r w:rsidR="008063A3" w:rsidRPr="0084541D">
        <w:rPr>
          <w:rFonts w:eastAsia="Times New Roman" w:cstheme="minorHAnsi"/>
          <w:lang w:eastAsia="en-GB"/>
        </w:rPr>
        <w:t xml:space="preserve">.   </w:t>
      </w:r>
      <w:r w:rsidRPr="0084541D">
        <w:rPr>
          <w:rFonts w:eastAsia="Times New Roman" w:cstheme="minorHAnsi"/>
          <w:lang w:eastAsia="en-GB"/>
        </w:rPr>
        <w:t xml:space="preserve">  </w:t>
      </w:r>
    </w:p>
    <w:p w14:paraId="29F371BD" w14:textId="77777777" w:rsidR="000304BD" w:rsidRPr="004733CE" w:rsidRDefault="000304BD" w:rsidP="0084541D">
      <w:pPr>
        <w:spacing w:line="360" w:lineRule="auto"/>
        <w:rPr>
          <w:rFonts w:cstheme="minorHAnsi"/>
          <w:b/>
          <w:bCs/>
        </w:rPr>
      </w:pPr>
    </w:p>
    <w:p w14:paraId="7B5F2EB5" w14:textId="77777777" w:rsidR="000304BD" w:rsidRPr="004733CE" w:rsidRDefault="000304BD" w:rsidP="0084541D">
      <w:pPr>
        <w:spacing w:line="360" w:lineRule="auto"/>
        <w:rPr>
          <w:rFonts w:cstheme="minorHAnsi"/>
          <w:b/>
          <w:bCs/>
        </w:rPr>
      </w:pPr>
      <w:r w:rsidRPr="004733CE">
        <w:rPr>
          <w:rFonts w:cstheme="minorHAnsi"/>
          <w:b/>
          <w:bCs/>
        </w:rPr>
        <w:t xml:space="preserve">Redaction principles relevant to </w:t>
      </w:r>
      <w:r w:rsidRPr="009B3414">
        <w:rPr>
          <w:rFonts w:cstheme="minorHAnsi"/>
          <w:b/>
          <w:bCs/>
        </w:rPr>
        <w:t>Sensitive Material</w:t>
      </w:r>
      <w:r w:rsidRPr="004733CE">
        <w:rPr>
          <w:rFonts w:cstheme="minorHAnsi"/>
          <w:b/>
          <w:bCs/>
        </w:rPr>
        <w:t xml:space="preserve"> as defined by the CPIA</w:t>
      </w:r>
      <w:r w:rsidR="00370E85" w:rsidRPr="004733CE">
        <w:rPr>
          <w:rFonts w:cstheme="minorHAnsi"/>
          <w:b/>
          <w:bCs/>
        </w:rPr>
        <w:t xml:space="preserve"> 1996.</w:t>
      </w:r>
    </w:p>
    <w:p w14:paraId="0D8FC7CC" w14:textId="77777777" w:rsidR="000304BD" w:rsidRPr="0084541D" w:rsidRDefault="000304BD" w:rsidP="0084541D">
      <w:pPr>
        <w:spacing w:line="360" w:lineRule="auto"/>
        <w:rPr>
          <w:rFonts w:cstheme="minorHAnsi"/>
        </w:rPr>
      </w:pPr>
    </w:p>
    <w:p w14:paraId="5FF0A244" w14:textId="77777777" w:rsidR="001E7E24" w:rsidRPr="0084541D" w:rsidRDefault="00AB0771" w:rsidP="0084541D">
      <w:pPr>
        <w:spacing w:line="360" w:lineRule="auto"/>
        <w:rPr>
          <w:rFonts w:cstheme="minorHAnsi"/>
        </w:rPr>
      </w:pPr>
      <w:r w:rsidRPr="0084541D">
        <w:rPr>
          <w:rFonts w:cstheme="minorHAnsi"/>
        </w:rPr>
        <w:t xml:space="preserve">The other basis for redaction of material relates to </w:t>
      </w:r>
      <w:r w:rsidR="001E7E24" w:rsidRPr="0084541D">
        <w:rPr>
          <w:rFonts w:cstheme="minorHAnsi"/>
          <w:b/>
          <w:bCs/>
        </w:rPr>
        <w:t xml:space="preserve">Sensitive Material </w:t>
      </w:r>
      <w:r w:rsidRPr="0084541D">
        <w:rPr>
          <w:rFonts w:cstheme="minorHAnsi"/>
        </w:rPr>
        <w:t>as defined by the CPIA</w:t>
      </w:r>
      <w:r w:rsidR="00473D9C" w:rsidRPr="0084541D">
        <w:rPr>
          <w:rFonts w:cstheme="minorHAnsi"/>
        </w:rPr>
        <w:t xml:space="preserve"> 1996</w:t>
      </w:r>
      <w:r w:rsidRPr="0084541D">
        <w:rPr>
          <w:rFonts w:cstheme="minorHAnsi"/>
        </w:rPr>
        <w:t xml:space="preserve">. </w:t>
      </w:r>
      <w:r w:rsidR="0043756D" w:rsidRPr="0084541D">
        <w:rPr>
          <w:rFonts w:cstheme="minorHAnsi"/>
        </w:rPr>
        <w:t xml:space="preserve">Sensitive Material under </w:t>
      </w:r>
      <w:r w:rsidR="00302EAE" w:rsidRPr="0084541D">
        <w:rPr>
          <w:rFonts w:cstheme="minorHAnsi"/>
        </w:rPr>
        <w:t xml:space="preserve">the </w:t>
      </w:r>
      <w:r w:rsidR="0043756D" w:rsidRPr="0084541D">
        <w:rPr>
          <w:rFonts w:cstheme="minorHAnsi"/>
        </w:rPr>
        <w:t>CPIA</w:t>
      </w:r>
      <w:r w:rsidR="00473D9C" w:rsidRPr="0084541D">
        <w:rPr>
          <w:rFonts w:cstheme="minorHAnsi"/>
        </w:rPr>
        <w:t xml:space="preserve"> 1996</w:t>
      </w:r>
      <w:r w:rsidR="0043756D" w:rsidRPr="0084541D">
        <w:rPr>
          <w:rFonts w:cstheme="minorHAnsi"/>
        </w:rPr>
        <w:t xml:space="preserve"> is distinct from personal data </w:t>
      </w:r>
      <w:r w:rsidR="00F73556" w:rsidRPr="0084541D">
        <w:rPr>
          <w:rFonts w:cstheme="minorHAnsi"/>
        </w:rPr>
        <w:t xml:space="preserve">and sensitive personal data under the DPA. </w:t>
      </w:r>
      <w:r w:rsidR="0043756D" w:rsidRPr="0084541D">
        <w:rPr>
          <w:rFonts w:cstheme="minorHAnsi"/>
        </w:rPr>
        <w:t xml:space="preserve">It </w:t>
      </w:r>
      <w:r w:rsidR="001E7E24" w:rsidRPr="0084541D">
        <w:rPr>
          <w:rFonts w:cstheme="minorHAnsi"/>
        </w:rPr>
        <w:t xml:space="preserve">is material, the disclosure of which </w:t>
      </w:r>
      <w:r w:rsidR="00931908" w:rsidRPr="0084541D">
        <w:rPr>
          <w:rFonts w:cstheme="minorHAnsi"/>
        </w:rPr>
        <w:t>would give rise to a real risk of serious prejudice to an important public interest. (para 2.1(9))</w:t>
      </w:r>
      <w:r w:rsidR="002B7B1B" w:rsidRPr="0084541D">
        <w:rPr>
          <w:rFonts w:cstheme="minorHAnsi"/>
        </w:rPr>
        <w:t xml:space="preserve">. </w:t>
      </w:r>
      <w:r w:rsidRPr="0084541D">
        <w:rPr>
          <w:rFonts w:cstheme="minorHAnsi"/>
        </w:rPr>
        <w:t xml:space="preserve">Examples of sensitive material can be found at paragraph 6.14 of the CPIA Code. </w:t>
      </w:r>
    </w:p>
    <w:p w14:paraId="2D8DFDA5" w14:textId="77777777" w:rsidR="00AB0771" w:rsidRPr="0084541D" w:rsidRDefault="00AB0771" w:rsidP="0084541D">
      <w:pPr>
        <w:spacing w:line="360" w:lineRule="auto"/>
        <w:rPr>
          <w:rFonts w:cstheme="minorHAnsi"/>
        </w:rPr>
      </w:pPr>
    </w:p>
    <w:p w14:paraId="3B486ED8" w14:textId="77777777" w:rsidR="00AB0771" w:rsidRPr="0084541D" w:rsidRDefault="00AB0771" w:rsidP="0084541D">
      <w:pPr>
        <w:spacing w:line="360" w:lineRule="auto"/>
        <w:rPr>
          <w:rFonts w:cstheme="minorHAnsi"/>
        </w:rPr>
      </w:pPr>
      <w:r w:rsidRPr="0084541D">
        <w:rPr>
          <w:rFonts w:cstheme="minorHAnsi"/>
        </w:rPr>
        <w:t xml:space="preserve">The existence of relevant sensitive material is revealed to the </w:t>
      </w:r>
      <w:r w:rsidR="00473D9C" w:rsidRPr="0084541D">
        <w:rPr>
          <w:rFonts w:cstheme="minorHAnsi"/>
        </w:rPr>
        <w:t>p</w:t>
      </w:r>
      <w:r w:rsidRPr="0084541D">
        <w:rPr>
          <w:rFonts w:cstheme="minorHAnsi"/>
        </w:rPr>
        <w:t>rosecutor by the investigator / disclosure officer on a schedule of sensitive unused material (MG6</w:t>
      </w:r>
      <w:r w:rsidR="00AA7666" w:rsidRPr="0084541D">
        <w:rPr>
          <w:rFonts w:cstheme="minorHAnsi"/>
        </w:rPr>
        <w:t>D</w:t>
      </w:r>
      <w:r w:rsidRPr="0084541D">
        <w:rPr>
          <w:rFonts w:cstheme="minorHAnsi"/>
        </w:rPr>
        <w:t xml:space="preserve">).  </w:t>
      </w:r>
    </w:p>
    <w:p w14:paraId="64D12E61" w14:textId="77777777" w:rsidR="00AB0771" w:rsidRPr="0084541D" w:rsidRDefault="00AB0771" w:rsidP="0084541D">
      <w:pPr>
        <w:spacing w:line="360" w:lineRule="auto"/>
        <w:rPr>
          <w:rFonts w:cstheme="minorHAnsi"/>
        </w:rPr>
      </w:pPr>
    </w:p>
    <w:p w14:paraId="47ED3E3E" w14:textId="77777777" w:rsidR="0043756D" w:rsidRPr="0084541D" w:rsidRDefault="00AB0771" w:rsidP="0084541D">
      <w:pPr>
        <w:spacing w:line="360" w:lineRule="auto"/>
        <w:rPr>
          <w:rFonts w:cstheme="minorHAnsi"/>
        </w:rPr>
      </w:pPr>
      <w:r w:rsidRPr="0084541D">
        <w:rPr>
          <w:rFonts w:cstheme="minorHAnsi"/>
        </w:rPr>
        <w:t xml:space="preserve">Where a </w:t>
      </w:r>
      <w:r w:rsidR="0043756D" w:rsidRPr="0084541D">
        <w:rPr>
          <w:rFonts w:cstheme="minorHAnsi"/>
        </w:rPr>
        <w:t xml:space="preserve">relevant </w:t>
      </w:r>
      <w:r w:rsidRPr="0084541D">
        <w:rPr>
          <w:rFonts w:cstheme="minorHAnsi"/>
        </w:rPr>
        <w:t>document contains a mix of sensitive and non-sensitive material</w:t>
      </w:r>
      <w:r w:rsidR="0043756D" w:rsidRPr="0084541D">
        <w:rPr>
          <w:rFonts w:cstheme="minorHAnsi"/>
        </w:rPr>
        <w:t xml:space="preserve">, the sensitive material must be redacted, with a copy of the redacted document placed on the non-sensitive unused material schedule </w:t>
      </w:r>
      <w:r w:rsidR="00F831E1" w:rsidRPr="0084541D">
        <w:rPr>
          <w:rFonts w:cstheme="minorHAnsi"/>
        </w:rPr>
        <w:t xml:space="preserve">(MG6C) </w:t>
      </w:r>
      <w:r w:rsidR="0043756D" w:rsidRPr="0084541D">
        <w:rPr>
          <w:rFonts w:cstheme="minorHAnsi"/>
        </w:rPr>
        <w:t>and the original place</w:t>
      </w:r>
      <w:r w:rsidR="00F73556" w:rsidRPr="0084541D">
        <w:rPr>
          <w:rFonts w:cstheme="minorHAnsi"/>
        </w:rPr>
        <w:t>d</w:t>
      </w:r>
      <w:r w:rsidR="0043756D" w:rsidRPr="0084541D">
        <w:rPr>
          <w:rFonts w:cstheme="minorHAnsi"/>
        </w:rPr>
        <w:t xml:space="preserve"> on the sensitive schedule</w:t>
      </w:r>
      <w:r w:rsidR="00F831E1" w:rsidRPr="0084541D">
        <w:rPr>
          <w:rFonts w:cstheme="minorHAnsi"/>
        </w:rPr>
        <w:t xml:space="preserve"> (MG6D)</w:t>
      </w:r>
      <w:r w:rsidR="0043756D" w:rsidRPr="0084541D">
        <w:rPr>
          <w:rFonts w:cstheme="minorHAnsi"/>
        </w:rPr>
        <w:t>.</w:t>
      </w:r>
      <w:r w:rsidR="00F831E1" w:rsidRPr="0084541D">
        <w:rPr>
          <w:rFonts w:cstheme="minorHAnsi"/>
        </w:rPr>
        <w:t xml:space="preserve"> </w:t>
      </w:r>
      <w:r w:rsidR="0043756D" w:rsidRPr="0084541D">
        <w:rPr>
          <w:rFonts w:cstheme="minorHAnsi"/>
        </w:rPr>
        <w:t xml:space="preserve"> </w:t>
      </w:r>
    </w:p>
    <w:p w14:paraId="7379A5CA" w14:textId="77777777" w:rsidR="00AB0771" w:rsidRDefault="00AB0771" w:rsidP="0084541D">
      <w:pPr>
        <w:spacing w:line="360" w:lineRule="auto"/>
        <w:rPr>
          <w:rFonts w:cstheme="minorHAnsi"/>
        </w:rPr>
      </w:pPr>
    </w:p>
    <w:p w14:paraId="1CDA2B59" w14:textId="77777777" w:rsidR="00370E85" w:rsidRPr="0084541D" w:rsidRDefault="00370E85" w:rsidP="0084541D">
      <w:pPr>
        <w:spacing w:line="360" w:lineRule="auto"/>
        <w:rPr>
          <w:rFonts w:cstheme="minorHAnsi"/>
        </w:rPr>
      </w:pPr>
    </w:p>
    <w:p w14:paraId="78BDBDA2" w14:textId="77777777" w:rsidR="00514D48" w:rsidRPr="0084541D" w:rsidRDefault="0043756D" w:rsidP="00370E85">
      <w:pPr>
        <w:pStyle w:val="ListParagraph"/>
        <w:numPr>
          <w:ilvl w:val="0"/>
          <w:numId w:val="2"/>
        </w:numPr>
        <w:spacing w:line="360" w:lineRule="auto"/>
        <w:rPr>
          <w:rFonts w:asciiTheme="minorHAnsi" w:hAnsiTheme="minorHAnsi" w:cstheme="minorHAnsi"/>
          <w:b/>
          <w:bCs/>
          <w:sz w:val="22"/>
          <w:szCs w:val="22"/>
        </w:rPr>
      </w:pPr>
      <w:r w:rsidRPr="0084541D">
        <w:rPr>
          <w:rFonts w:asciiTheme="minorHAnsi" w:hAnsiTheme="minorHAnsi" w:cstheme="minorHAnsi"/>
          <w:b/>
          <w:bCs/>
          <w:sz w:val="22"/>
          <w:szCs w:val="22"/>
        </w:rPr>
        <w:t xml:space="preserve">Summary </w:t>
      </w:r>
    </w:p>
    <w:p w14:paraId="2220FAEC" w14:textId="77777777" w:rsidR="0043756D" w:rsidRPr="0084541D" w:rsidRDefault="00D821AE" w:rsidP="0084541D">
      <w:pPr>
        <w:spacing w:line="360" w:lineRule="auto"/>
        <w:rPr>
          <w:rFonts w:cstheme="minorHAnsi"/>
        </w:rPr>
      </w:pPr>
      <w:r w:rsidRPr="0084541D">
        <w:rPr>
          <w:rFonts w:cstheme="minorHAnsi"/>
        </w:rPr>
        <w:t xml:space="preserve">Personal data </w:t>
      </w:r>
      <w:r w:rsidR="0043756D" w:rsidRPr="0084541D">
        <w:rPr>
          <w:rFonts w:cstheme="minorHAnsi"/>
        </w:rPr>
        <w:t xml:space="preserve">should </w:t>
      </w:r>
      <w:r w:rsidRPr="0084541D">
        <w:rPr>
          <w:rFonts w:cstheme="minorHAnsi"/>
        </w:rPr>
        <w:t xml:space="preserve">only </w:t>
      </w:r>
      <w:r w:rsidR="0043756D" w:rsidRPr="0084541D">
        <w:rPr>
          <w:rFonts w:cstheme="minorHAnsi"/>
        </w:rPr>
        <w:t xml:space="preserve">be </w:t>
      </w:r>
      <w:r w:rsidRPr="0084541D">
        <w:rPr>
          <w:rFonts w:cstheme="minorHAnsi"/>
        </w:rPr>
        <w:t xml:space="preserve">shared or disclosed by the </w:t>
      </w:r>
      <w:r w:rsidR="00370E85">
        <w:rPr>
          <w:rFonts w:cstheme="minorHAnsi"/>
        </w:rPr>
        <w:t>Police</w:t>
      </w:r>
      <w:r w:rsidRPr="0084541D">
        <w:rPr>
          <w:rFonts w:cstheme="minorHAnsi"/>
        </w:rPr>
        <w:t xml:space="preserve"> / CPS when lawful and necessary. If the personal data is not </w:t>
      </w:r>
      <w:r w:rsidR="0043756D" w:rsidRPr="0084541D">
        <w:rPr>
          <w:rFonts w:cstheme="minorHAnsi"/>
        </w:rPr>
        <w:t xml:space="preserve">evidence </w:t>
      </w:r>
      <w:r w:rsidR="00AA7666" w:rsidRPr="0084541D">
        <w:rPr>
          <w:rFonts w:cstheme="minorHAnsi"/>
        </w:rPr>
        <w:t xml:space="preserve">in the case or required to </w:t>
      </w:r>
      <w:r w:rsidR="0043756D" w:rsidRPr="0084541D">
        <w:rPr>
          <w:rFonts w:cstheme="minorHAnsi"/>
        </w:rPr>
        <w:t xml:space="preserve">discharge disclosure obligations under </w:t>
      </w:r>
      <w:r w:rsidR="003E57D0" w:rsidRPr="0084541D">
        <w:rPr>
          <w:rFonts w:cstheme="minorHAnsi"/>
        </w:rPr>
        <w:t xml:space="preserve">the </w:t>
      </w:r>
      <w:r w:rsidR="0043756D" w:rsidRPr="0084541D">
        <w:rPr>
          <w:rFonts w:cstheme="minorHAnsi"/>
        </w:rPr>
        <w:t>CPIA</w:t>
      </w:r>
      <w:r w:rsidR="00473D9C" w:rsidRPr="0084541D">
        <w:rPr>
          <w:rFonts w:cstheme="minorHAnsi"/>
        </w:rPr>
        <w:t xml:space="preserve"> 1996</w:t>
      </w:r>
      <w:r w:rsidRPr="0084541D">
        <w:rPr>
          <w:rFonts w:cstheme="minorHAnsi"/>
        </w:rPr>
        <w:t xml:space="preserve"> / Common </w:t>
      </w:r>
      <w:r w:rsidR="000B657B" w:rsidRPr="0084541D">
        <w:rPr>
          <w:rFonts w:cstheme="minorHAnsi"/>
        </w:rPr>
        <w:t>Law,</w:t>
      </w:r>
      <w:r w:rsidRPr="0084541D">
        <w:rPr>
          <w:rFonts w:cstheme="minorHAnsi"/>
        </w:rPr>
        <w:t xml:space="preserve"> then it should be redacted. </w:t>
      </w:r>
    </w:p>
    <w:p w14:paraId="6646E801" w14:textId="77777777" w:rsidR="00D821AE" w:rsidRPr="0084541D" w:rsidRDefault="00D821AE" w:rsidP="0084541D">
      <w:pPr>
        <w:spacing w:line="360" w:lineRule="auto"/>
        <w:rPr>
          <w:rFonts w:cstheme="minorHAnsi"/>
        </w:rPr>
      </w:pPr>
    </w:p>
    <w:p w14:paraId="493F5803" w14:textId="77777777" w:rsidR="006B2266" w:rsidRPr="0084541D" w:rsidRDefault="006B2266" w:rsidP="0084541D">
      <w:pPr>
        <w:spacing w:line="360" w:lineRule="auto"/>
        <w:rPr>
          <w:rFonts w:cstheme="minorHAnsi"/>
        </w:rPr>
      </w:pPr>
      <w:r w:rsidRPr="0084541D">
        <w:rPr>
          <w:rFonts w:cstheme="minorHAnsi"/>
        </w:rPr>
        <w:lastRenderedPageBreak/>
        <w:t xml:space="preserve">The other basis for redaction of information is </w:t>
      </w:r>
      <w:r w:rsidR="00F73556" w:rsidRPr="0084541D">
        <w:rPr>
          <w:rFonts w:cstheme="minorHAnsi"/>
        </w:rPr>
        <w:t>under the CPIA</w:t>
      </w:r>
      <w:r w:rsidR="00473D9C" w:rsidRPr="0084541D">
        <w:rPr>
          <w:rFonts w:cstheme="minorHAnsi"/>
        </w:rPr>
        <w:t xml:space="preserve"> 1996</w:t>
      </w:r>
      <w:r w:rsidR="00F73556" w:rsidRPr="0084541D">
        <w:rPr>
          <w:rFonts w:cstheme="minorHAnsi"/>
        </w:rPr>
        <w:t xml:space="preserve">.  Where </w:t>
      </w:r>
      <w:r w:rsidRPr="0084541D">
        <w:rPr>
          <w:rFonts w:cstheme="minorHAnsi"/>
        </w:rPr>
        <w:t xml:space="preserve">a relevant document contains both sensitive and non-sensitive </w:t>
      </w:r>
      <w:r w:rsidR="00D821AE" w:rsidRPr="0084541D">
        <w:rPr>
          <w:rFonts w:cstheme="minorHAnsi"/>
        </w:rPr>
        <w:t>material</w:t>
      </w:r>
      <w:r w:rsidR="00F73556" w:rsidRPr="0084541D">
        <w:rPr>
          <w:rFonts w:cstheme="minorHAnsi"/>
        </w:rPr>
        <w:t>, t</w:t>
      </w:r>
      <w:r w:rsidRPr="0084541D">
        <w:rPr>
          <w:rFonts w:cstheme="minorHAnsi"/>
        </w:rPr>
        <w:t>he sensitive material must be redacted</w:t>
      </w:r>
      <w:r w:rsidR="00F73556" w:rsidRPr="0084541D">
        <w:rPr>
          <w:rFonts w:cstheme="minorHAnsi"/>
        </w:rPr>
        <w:t xml:space="preserve">. The </w:t>
      </w:r>
      <w:r w:rsidRPr="0084541D">
        <w:rPr>
          <w:rFonts w:cstheme="minorHAnsi"/>
        </w:rPr>
        <w:t xml:space="preserve">redacted document </w:t>
      </w:r>
      <w:r w:rsidR="00F73556" w:rsidRPr="0084541D">
        <w:rPr>
          <w:rFonts w:cstheme="minorHAnsi"/>
        </w:rPr>
        <w:t xml:space="preserve">should be </w:t>
      </w:r>
      <w:r w:rsidRPr="0084541D">
        <w:rPr>
          <w:rFonts w:cstheme="minorHAnsi"/>
        </w:rPr>
        <w:t xml:space="preserve">listed on the non-sensitive schedule </w:t>
      </w:r>
      <w:r w:rsidR="00F73556" w:rsidRPr="0084541D">
        <w:rPr>
          <w:rFonts w:cstheme="minorHAnsi"/>
        </w:rPr>
        <w:t xml:space="preserve">(MG6C) </w:t>
      </w:r>
      <w:r w:rsidRPr="0084541D">
        <w:rPr>
          <w:rFonts w:cstheme="minorHAnsi"/>
        </w:rPr>
        <w:t>and the original on the sensitive</w:t>
      </w:r>
      <w:r w:rsidR="00F73556" w:rsidRPr="0084541D">
        <w:rPr>
          <w:rFonts w:cstheme="minorHAnsi"/>
        </w:rPr>
        <w:t xml:space="preserve"> (MG6D)</w:t>
      </w:r>
      <w:r w:rsidRPr="0084541D">
        <w:rPr>
          <w:rFonts w:cstheme="minorHAnsi"/>
        </w:rPr>
        <w:t xml:space="preserve">. </w:t>
      </w:r>
    </w:p>
    <w:p w14:paraId="1E204947" w14:textId="77777777" w:rsidR="006B2266" w:rsidRPr="0084541D" w:rsidRDefault="006B2266" w:rsidP="0084541D">
      <w:pPr>
        <w:spacing w:line="360" w:lineRule="auto"/>
        <w:rPr>
          <w:rFonts w:cstheme="minorHAnsi"/>
        </w:rPr>
      </w:pPr>
    </w:p>
    <w:p w14:paraId="57A7E8A1" w14:textId="77777777" w:rsidR="00D821AE" w:rsidRPr="0084541D" w:rsidRDefault="006B2266" w:rsidP="0084541D">
      <w:pPr>
        <w:spacing w:line="360" w:lineRule="auto"/>
        <w:rPr>
          <w:rFonts w:cstheme="minorHAnsi"/>
        </w:rPr>
      </w:pPr>
      <w:bookmarkStart w:id="1" w:name="_Hlk71190277"/>
      <w:r w:rsidRPr="0084541D">
        <w:rPr>
          <w:rFonts w:cstheme="minorHAnsi"/>
        </w:rPr>
        <w:t>Please note that if the CPIA</w:t>
      </w:r>
      <w:r w:rsidR="00473D9C" w:rsidRPr="0084541D">
        <w:rPr>
          <w:rFonts w:cstheme="minorHAnsi"/>
        </w:rPr>
        <w:t xml:space="preserve"> 1996</w:t>
      </w:r>
      <w:r w:rsidRPr="0084541D">
        <w:rPr>
          <w:rFonts w:cstheme="minorHAnsi"/>
        </w:rPr>
        <w:t xml:space="preserve"> sensitive material is considered to meet the test for disclosure, then the </w:t>
      </w:r>
      <w:r w:rsidR="00370E85">
        <w:rPr>
          <w:rFonts w:cstheme="minorHAnsi"/>
        </w:rPr>
        <w:t>Police</w:t>
      </w:r>
      <w:r w:rsidRPr="0084541D">
        <w:rPr>
          <w:rFonts w:cstheme="minorHAnsi"/>
        </w:rPr>
        <w:t xml:space="preserve"> and CPS will need to review and approach that material in accordance with the guidance in the Disclosure </w:t>
      </w:r>
      <w:r w:rsidRPr="000B235A">
        <w:rPr>
          <w:rFonts w:cstheme="minorHAnsi"/>
        </w:rPr>
        <w:t>Manual.</w:t>
      </w:r>
      <w:r w:rsidRPr="0084541D">
        <w:rPr>
          <w:rFonts w:cstheme="minorHAnsi"/>
        </w:rPr>
        <w:t xml:space="preserve"> </w:t>
      </w:r>
    </w:p>
    <w:bookmarkEnd w:id="1"/>
    <w:p w14:paraId="5F945F66" w14:textId="77777777" w:rsidR="0043756D" w:rsidRDefault="0043756D" w:rsidP="0084541D">
      <w:pPr>
        <w:spacing w:line="360" w:lineRule="auto"/>
        <w:rPr>
          <w:rFonts w:cstheme="minorHAnsi"/>
        </w:rPr>
      </w:pPr>
    </w:p>
    <w:p w14:paraId="5A1CB002" w14:textId="77777777" w:rsidR="00553C8C" w:rsidRPr="00553C8C" w:rsidRDefault="00553C8C" w:rsidP="0084541D">
      <w:pPr>
        <w:spacing w:line="360" w:lineRule="auto"/>
        <w:rPr>
          <w:rFonts w:cstheme="minorHAnsi"/>
        </w:rPr>
      </w:pPr>
    </w:p>
    <w:p w14:paraId="19992268" w14:textId="77777777" w:rsidR="00553C8C" w:rsidRDefault="00553C8C" w:rsidP="00553C8C">
      <w:pPr>
        <w:pStyle w:val="ListParagraph"/>
        <w:numPr>
          <w:ilvl w:val="0"/>
          <w:numId w:val="2"/>
        </w:numPr>
        <w:spacing w:line="360" w:lineRule="auto"/>
        <w:rPr>
          <w:rFonts w:asciiTheme="minorHAnsi" w:hAnsiTheme="minorHAnsi" w:cstheme="minorHAnsi"/>
          <w:b/>
          <w:bCs/>
          <w:sz w:val="22"/>
          <w:szCs w:val="22"/>
        </w:rPr>
      </w:pPr>
      <w:r w:rsidRPr="00553C8C">
        <w:rPr>
          <w:rFonts w:asciiTheme="minorHAnsi" w:hAnsiTheme="minorHAnsi" w:cstheme="minorHAnsi"/>
          <w:b/>
          <w:bCs/>
          <w:sz w:val="22"/>
          <w:szCs w:val="22"/>
        </w:rPr>
        <w:t>Escalation Process</w:t>
      </w:r>
    </w:p>
    <w:p w14:paraId="22C9B5EB" w14:textId="77777777" w:rsidR="00553C8C" w:rsidRPr="00553C8C" w:rsidRDefault="000B657B" w:rsidP="00553C8C">
      <w:pPr>
        <w:spacing w:line="360" w:lineRule="auto"/>
        <w:rPr>
          <w:rFonts w:cstheme="minorHAnsi"/>
        </w:rPr>
      </w:pPr>
      <w:r>
        <w:rPr>
          <w:rFonts w:cstheme="minorHAnsi"/>
        </w:rPr>
        <w:t>Where there is a requirement to escalate a query in relation to the guidance above</w:t>
      </w:r>
      <w:r w:rsidR="008E4280">
        <w:rPr>
          <w:rFonts w:cstheme="minorHAnsi"/>
        </w:rPr>
        <w:t xml:space="preserve"> the procedures set out in </w:t>
      </w:r>
      <w:r w:rsidR="008E4280" w:rsidRPr="008E4280">
        <w:rPr>
          <w:rFonts w:cstheme="minorHAnsi"/>
        </w:rPr>
        <w:t xml:space="preserve">DG6 Part 4 paragraphs 4.31 – 4.34 </w:t>
      </w:r>
      <w:r w:rsidR="008E4280">
        <w:rPr>
          <w:rFonts w:cstheme="minorHAnsi"/>
        </w:rPr>
        <w:t xml:space="preserve">(charging) </w:t>
      </w:r>
      <w:r w:rsidR="008E4280" w:rsidRPr="008E4280">
        <w:rPr>
          <w:rFonts w:cstheme="minorHAnsi"/>
        </w:rPr>
        <w:t>and Part 10 paragraphs 10.12 – 10.14</w:t>
      </w:r>
      <w:r>
        <w:rPr>
          <w:rFonts w:cstheme="minorHAnsi"/>
        </w:rPr>
        <w:t xml:space="preserve"> </w:t>
      </w:r>
      <w:r w:rsidR="008E4280">
        <w:rPr>
          <w:rFonts w:cstheme="minorHAnsi"/>
        </w:rPr>
        <w:t xml:space="preserve">(post charge) </w:t>
      </w:r>
      <w:r>
        <w:rPr>
          <w:rFonts w:cstheme="minorHAnsi"/>
        </w:rPr>
        <w:t>should be considered.</w:t>
      </w:r>
      <w:r w:rsidR="008E4280">
        <w:rPr>
          <w:rFonts w:cstheme="minorHAnsi"/>
        </w:rPr>
        <w:t xml:space="preserve">  The latter is replicated below for information.</w:t>
      </w:r>
    </w:p>
    <w:p w14:paraId="2F54AC73" w14:textId="63C7DA6B" w:rsidR="00553C8C" w:rsidRPr="00553C8C" w:rsidRDefault="00553C8C" w:rsidP="00553C8C">
      <w:pPr>
        <w:keepNext/>
        <w:keepLines/>
        <w:spacing w:before="240" w:line="360" w:lineRule="auto"/>
        <w:outlineLvl w:val="0"/>
        <w:rPr>
          <w:rFonts w:eastAsia="MS Gothic" w:cstheme="minorHAnsi"/>
          <w:b/>
          <w:bCs/>
          <w:color w:val="2E74B5"/>
          <w:u w:val="single"/>
        </w:rPr>
      </w:pPr>
      <w:bookmarkStart w:id="2" w:name="_Toc69303635"/>
      <w:bookmarkStart w:id="3" w:name="_Toc71116943"/>
      <w:r w:rsidRPr="00553C8C">
        <w:rPr>
          <w:rFonts w:eastAsia="MS Gothic" w:cstheme="minorHAnsi"/>
          <w:b/>
          <w:bCs/>
          <w:color w:val="2E74B5"/>
          <w:u w:val="single"/>
        </w:rPr>
        <w:t>Escalation</w:t>
      </w:r>
      <w:bookmarkEnd w:id="2"/>
      <w:r w:rsidRPr="00553C8C">
        <w:rPr>
          <w:rFonts w:eastAsia="MS Gothic" w:cstheme="minorHAnsi"/>
          <w:b/>
          <w:bCs/>
          <w:color w:val="2E74B5"/>
          <w:u w:val="single"/>
        </w:rPr>
        <w:t xml:space="preserve"> (Director</w:t>
      </w:r>
      <w:r w:rsidR="009E4CAD">
        <w:rPr>
          <w:rFonts w:eastAsia="MS Gothic" w:cstheme="minorHAnsi"/>
          <w:b/>
          <w:bCs/>
          <w:color w:val="2E74B5"/>
          <w:u w:val="single"/>
        </w:rPr>
        <w:t>’s</w:t>
      </w:r>
      <w:r w:rsidRPr="00553C8C">
        <w:rPr>
          <w:rFonts w:eastAsia="MS Gothic" w:cstheme="minorHAnsi"/>
          <w:b/>
          <w:bCs/>
          <w:color w:val="2E74B5"/>
          <w:u w:val="single"/>
        </w:rPr>
        <w:t xml:space="preserve"> Guid</w:t>
      </w:r>
      <w:r>
        <w:rPr>
          <w:rFonts w:eastAsia="MS Gothic" w:cstheme="minorHAnsi"/>
          <w:b/>
          <w:bCs/>
          <w:color w:val="2E74B5"/>
          <w:u w:val="single"/>
        </w:rPr>
        <w:t>a</w:t>
      </w:r>
      <w:r w:rsidRPr="00553C8C">
        <w:rPr>
          <w:rFonts w:eastAsia="MS Gothic" w:cstheme="minorHAnsi"/>
          <w:b/>
          <w:bCs/>
          <w:color w:val="2E74B5"/>
          <w:u w:val="single"/>
        </w:rPr>
        <w:t>nce on Charging 6</w:t>
      </w:r>
      <w:r w:rsidRPr="00553C8C">
        <w:rPr>
          <w:rFonts w:eastAsia="MS Gothic" w:cstheme="minorHAnsi"/>
          <w:b/>
          <w:bCs/>
          <w:color w:val="2E74B5"/>
          <w:u w:val="single"/>
          <w:vertAlign w:val="superscript"/>
        </w:rPr>
        <w:t>th</w:t>
      </w:r>
      <w:r w:rsidRPr="00553C8C">
        <w:rPr>
          <w:rFonts w:eastAsia="MS Gothic" w:cstheme="minorHAnsi"/>
          <w:b/>
          <w:bCs/>
          <w:color w:val="2E74B5"/>
          <w:u w:val="single"/>
        </w:rPr>
        <w:t xml:space="preserve"> Edition)</w:t>
      </w:r>
      <w:bookmarkEnd w:id="3"/>
    </w:p>
    <w:p w14:paraId="5E687478" w14:textId="77777777" w:rsidR="00553C8C" w:rsidRPr="00553C8C" w:rsidRDefault="00553C8C" w:rsidP="00553C8C">
      <w:pPr>
        <w:spacing w:line="360" w:lineRule="auto"/>
        <w:rPr>
          <w:rFonts w:eastAsia="Calibri" w:cstheme="minorHAnsi"/>
        </w:rPr>
      </w:pPr>
    </w:p>
    <w:p w14:paraId="6848FE60" w14:textId="77777777" w:rsidR="00553C8C" w:rsidRPr="00553C8C" w:rsidRDefault="00553C8C" w:rsidP="00553C8C">
      <w:pPr>
        <w:spacing w:after="240" w:line="360" w:lineRule="auto"/>
        <w:rPr>
          <w:rFonts w:eastAsia="Times New Roman" w:cstheme="minorHAnsi"/>
          <w:lang w:val="en" w:eastAsia="en-GB"/>
        </w:rPr>
      </w:pPr>
      <w:r w:rsidRPr="00553C8C">
        <w:rPr>
          <w:rFonts w:eastAsia="Times New Roman" w:cstheme="minorHAnsi"/>
          <w:lang w:val="en" w:eastAsia="en-GB"/>
        </w:rPr>
        <w:t>10.10 The Code</w:t>
      </w:r>
      <w:hyperlink r:id="rId8" w:anchor="reference-81" w:history="1">
        <w:r w:rsidRPr="00553C8C">
          <w:rPr>
            <w:rFonts w:eastAsia="Times New Roman" w:cstheme="minorHAnsi"/>
            <w:u w:val="single"/>
            <w:vertAlign w:val="superscript"/>
            <w:lang w:val="en" w:eastAsia="en-GB"/>
          </w:rPr>
          <w:t>81</w:t>
        </w:r>
      </w:hyperlink>
      <w:r w:rsidRPr="00553C8C">
        <w:rPr>
          <w:rFonts w:eastAsia="Times New Roman" w:cstheme="minorHAnsi"/>
          <w:lang w:val="en" w:eastAsia="en-GB"/>
        </w:rPr>
        <w:t xml:space="preserve"> establishes the concept that a prosecutor’s review responsibilities are continuous, applying throughout the life of a case. The evidential and public interest basis upon which a decision to prosecute is taken may change for a variety of reasons, including the availability or otherwise of evidence arising from the investigation, any view expressed by the complainant, or the receipt of material or information from the </w:t>
      </w:r>
      <w:r w:rsidRPr="00553C8C">
        <w:rPr>
          <w:rFonts w:eastAsia="Times New Roman" w:cstheme="minorHAnsi"/>
          <w:lang w:eastAsia="en-GB"/>
        </w:rPr>
        <w:t>defence</w:t>
      </w:r>
      <w:r w:rsidRPr="00553C8C">
        <w:rPr>
          <w:rFonts w:eastAsia="Times New Roman" w:cstheme="minorHAnsi"/>
          <w:lang w:val="en" w:eastAsia="en-GB"/>
        </w:rPr>
        <w:t>. Such a change should precipitate a further review.</w:t>
      </w:r>
    </w:p>
    <w:p w14:paraId="5353A076" w14:textId="77777777" w:rsidR="00553C8C" w:rsidRPr="00553C8C" w:rsidRDefault="00553C8C" w:rsidP="00553C8C">
      <w:pPr>
        <w:spacing w:after="240" w:line="360" w:lineRule="auto"/>
        <w:rPr>
          <w:rFonts w:eastAsia="Times New Roman" w:cstheme="minorHAnsi"/>
          <w:lang w:val="en" w:eastAsia="en-GB"/>
        </w:rPr>
      </w:pPr>
      <w:r w:rsidRPr="00553C8C">
        <w:rPr>
          <w:rFonts w:eastAsia="Times New Roman" w:cstheme="minorHAnsi"/>
          <w:lang w:val="en" w:eastAsia="en-GB"/>
        </w:rPr>
        <w:t xml:space="preserve">10.11 It is essential that the police communicate any change in circumstances to the prosecutor as soon as it is known as it may mean the relevant Code Test is no longer met. Further information may also mean that the case is strengthened. Prosecutors must act upon this information as soon as possible, whether upon receipt from the police, the complainant, the </w:t>
      </w:r>
      <w:r w:rsidRPr="0049452F">
        <w:rPr>
          <w:rFonts w:eastAsia="Times New Roman" w:cstheme="minorHAnsi"/>
          <w:lang w:eastAsia="en-GB"/>
        </w:rPr>
        <w:t>defence</w:t>
      </w:r>
      <w:r w:rsidRPr="00553C8C">
        <w:rPr>
          <w:rFonts w:eastAsia="Times New Roman" w:cstheme="minorHAnsi"/>
          <w:lang w:val="en" w:eastAsia="en-GB"/>
        </w:rPr>
        <w:t>, or any other source. Failure to progress cases in this way may mean that they proceed without the benefit of material that may strengthen them, that they are prolonged unnecessarily when they should be stopped, or that the court’s expectations around case progression are not met. Resolution of case issues and escalation</w:t>
      </w:r>
    </w:p>
    <w:p w14:paraId="4A3FA4CF" w14:textId="77777777" w:rsidR="00553C8C" w:rsidRPr="00553C8C" w:rsidRDefault="00553C8C" w:rsidP="00553C8C">
      <w:pPr>
        <w:spacing w:after="240" w:line="360" w:lineRule="auto"/>
        <w:rPr>
          <w:rFonts w:eastAsia="Times New Roman" w:cstheme="minorHAnsi"/>
          <w:lang w:val="en" w:eastAsia="en-GB"/>
        </w:rPr>
      </w:pPr>
      <w:r w:rsidRPr="00553C8C">
        <w:rPr>
          <w:rFonts w:eastAsia="Times New Roman" w:cstheme="minorHAnsi"/>
          <w:lang w:val="en" w:eastAsia="en-GB"/>
        </w:rPr>
        <w:lastRenderedPageBreak/>
        <w:t>10.12 Failing to comply with a request from a prosecutor may place the prosecution in breach of a court direction and imperil the progress or outcome of the case. It is essential that case progression issues between the police and the prosecutor are resolved quickly through an agreed process.</w:t>
      </w:r>
    </w:p>
    <w:p w14:paraId="06A28028" w14:textId="77777777" w:rsidR="00553C8C" w:rsidRPr="00553C8C" w:rsidRDefault="00553C8C" w:rsidP="00553C8C">
      <w:pPr>
        <w:spacing w:after="240" w:line="360" w:lineRule="auto"/>
        <w:rPr>
          <w:rFonts w:eastAsia="Times New Roman" w:cstheme="minorHAnsi"/>
          <w:lang w:val="en" w:eastAsia="en-GB"/>
        </w:rPr>
      </w:pPr>
      <w:r w:rsidRPr="00553C8C">
        <w:rPr>
          <w:rFonts w:eastAsia="Times New Roman" w:cstheme="minorHAnsi"/>
          <w:lang w:val="en" w:eastAsia="en-GB"/>
        </w:rPr>
        <w:t>10.13 If any matter requiring a post-charge decision or other action is disputed, or is not completed within an indicative timescale, the police or prosecutor may ask for the issue to be reviewed in accordance with national principles and local arrangements.</w:t>
      </w:r>
      <w:r w:rsidRPr="00553C8C">
        <w:rPr>
          <w:rFonts w:eastAsia="Times New Roman" w:cstheme="minorHAnsi"/>
          <w:vertAlign w:val="superscript"/>
          <w:lang w:val="en" w:eastAsia="en-GB"/>
        </w:rPr>
        <w:t>82</w:t>
      </w:r>
      <w:r w:rsidRPr="00553C8C">
        <w:rPr>
          <w:rFonts w:eastAsia="Times New Roman" w:cstheme="minorHAnsi"/>
          <w:lang w:val="en" w:eastAsia="en-GB"/>
        </w:rPr>
        <w:t xml:space="preserve"> Any such review should take place as soon as possible. If the review cannot resolve the issue(s), it may be further escalated in accordance with the local arrangements. A separate process applies for appeals against charging decisions.</w:t>
      </w:r>
      <w:hyperlink r:id="rId9" w:anchor="reference-83" w:history="1">
        <w:r w:rsidRPr="00553C8C">
          <w:rPr>
            <w:rFonts w:eastAsia="Times New Roman" w:cstheme="minorHAnsi"/>
            <w:u w:val="single"/>
            <w:vertAlign w:val="superscript"/>
            <w:lang w:val="en" w:eastAsia="en-GB"/>
          </w:rPr>
          <w:t>83</w:t>
        </w:r>
      </w:hyperlink>
    </w:p>
    <w:p w14:paraId="231B21AD" w14:textId="77777777" w:rsidR="00553C8C" w:rsidRPr="00553C8C" w:rsidRDefault="00553C8C" w:rsidP="00E52B2B">
      <w:pPr>
        <w:spacing w:line="360" w:lineRule="auto"/>
        <w:rPr>
          <w:rFonts w:eastAsia="Times New Roman" w:cstheme="minorHAnsi"/>
          <w:lang w:val="en" w:eastAsia="en-GB"/>
        </w:rPr>
      </w:pPr>
      <w:r w:rsidRPr="00553C8C">
        <w:rPr>
          <w:rFonts w:eastAsia="Times New Roman" w:cstheme="minorHAnsi"/>
          <w:lang w:val="en" w:eastAsia="en-GB"/>
        </w:rPr>
        <w:t>10.14 The following general principles are to be applied:</w:t>
      </w:r>
    </w:p>
    <w:p w14:paraId="62E7A497" w14:textId="77777777" w:rsidR="00553C8C" w:rsidRPr="00553C8C" w:rsidRDefault="00553C8C" w:rsidP="00E52B2B">
      <w:pPr>
        <w:numPr>
          <w:ilvl w:val="0"/>
          <w:numId w:val="17"/>
        </w:numPr>
        <w:tabs>
          <w:tab w:val="clear" w:pos="720"/>
          <w:tab w:val="num" w:pos="567"/>
        </w:tabs>
        <w:spacing w:line="360" w:lineRule="auto"/>
        <w:ind w:left="567" w:hanging="283"/>
        <w:rPr>
          <w:rFonts w:eastAsia="Times New Roman" w:cstheme="minorHAnsi"/>
          <w:lang w:val="en" w:eastAsia="en-GB"/>
        </w:rPr>
      </w:pPr>
      <w:r w:rsidRPr="00553C8C">
        <w:rPr>
          <w:rFonts w:eastAsia="Times New Roman" w:cstheme="minorHAnsi"/>
          <w:lang w:val="en" w:eastAsia="en-GB"/>
        </w:rPr>
        <w:t>escalation must be recorded and should explain the rationale for the decision to escalate;</w:t>
      </w:r>
    </w:p>
    <w:p w14:paraId="6BA21E47" w14:textId="77777777" w:rsidR="00553C8C" w:rsidRPr="00553C8C" w:rsidRDefault="00553C8C" w:rsidP="00553C8C">
      <w:pPr>
        <w:numPr>
          <w:ilvl w:val="0"/>
          <w:numId w:val="17"/>
        </w:numPr>
        <w:tabs>
          <w:tab w:val="clear" w:pos="720"/>
          <w:tab w:val="num" w:pos="567"/>
        </w:tabs>
        <w:spacing w:before="100" w:beforeAutospacing="1" w:after="100" w:afterAutospacing="1" w:line="360" w:lineRule="auto"/>
        <w:ind w:left="567" w:hanging="283"/>
        <w:rPr>
          <w:rFonts w:eastAsia="Times New Roman" w:cstheme="minorHAnsi"/>
          <w:lang w:val="en" w:eastAsia="en-GB"/>
        </w:rPr>
      </w:pPr>
      <w:r w:rsidRPr="00553C8C">
        <w:rPr>
          <w:rFonts w:eastAsia="Times New Roman" w:cstheme="minorHAnsi"/>
          <w:lang w:val="en" w:eastAsia="en-GB"/>
        </w:rPr>
        <w:t>local escalation policy should involve a minimum of two stages;</w:t>
      </w:r>
    </w:p>
    <w:p w14:paraId="45707970" w14:textId="77777777" w:rsidR="00553C8C" w:rsidRPr="00553C8C" w:rsidRDefault="00553C8C" w:rsidP="00553C8C">
      <w:pPr>
        <w:numPr>
          <w:ilvl w:val="0"/>
          <w:numId w:val="17"/>
        </w:numPr>
        <w:tabs>
          <w:tab w:val="clear" w:pos="720"/>
          <w:tab w:val="num" w:pos="567"/>
        </w:tabs>
        <w:spacing w:before="100" w:beforeAutospacing="1" w:after="100" w:afterAutospacing="1" w:line="360" w:lineRule="auto"/>
        <w:ind w:left="567" w:hanging="283"/>
        <w:rPr>
          <w:rFonts w:eastAsia="Times New Roman" w:cstheme="minorHAnsi"/>
          <w:lang w:val="en" w:eastAsia="en-GB"/>
        </w:rPr>
      </w:pPr>
      <w:r w:rsidRPr="00553C8C">
        <w:rPr>
          <w:rFonts w:eastAsia="Times New Roman" w:cstheme="minorHAnsi"/>
          <w:lang w:val="en" w:eastAsia="en-GB"/>
        </w:rPr>
        <w:t>local escalation policy should define the level of decision making required at each stage, and the level of managerial awareness;</w:t>
      </w:r>
    </w:p>
    <w:p w14:paraId="06EF8A0B" w14:textId="77777777" w:rsidR="00553C8C" w:rsidRPr="00553C8C" w:rsidRDefault="00553C8C" w:rsidP="00553C8C">
      <w:pPr>
        <w:numPr>
          <w:ilvl w:val="0"/>
          <w:numId w:val="17"/>
        </w:numPr>
        <w:tabs>
          <w:tab w:val="clear" w:pos="720"/>
          <w:tab w:val="num" w:pos="567"/>
        </w:tabs>
        <w:spacing w:before="100" w:beforeAutospacing="1" w:after="100" w:afterAutospacing="1" w:line="360" w:lineRule="auto"/>
        <w:ind w:left="567" w:hanging="283"/>
        <w:rPr>
          <w:rFonts w:eastAsia="Times New Roman" w:cstheme="minorHAnsi"/>
          <w:lang w:val="en" w:eastAsia="en-GB"/>
        </w:rPr>
      </w:pPr>
      <w:r w:rsidRPr="00553C8C">
        <w:rPr>
          <w:rFonts w:eastAsia="Times New Roman" w:cstheme="minorHAnsi"/>
          <w:lang w:val="en" w:eastAsia="en-GB"/>
        </w:rPr>
        <w:t>at least seven days should be given for the final stage of escalation unless the relevant timescale for the case does not permit that, in which case the reason must be recorded and shared;</w:t>
      </w:r>
    </w:p>
    <w:p w14:paraId="2E8F7EFF" w14:textId="77777777" w:rsidR="00553C8C" w:rsidRPr="00553C8C" w:rsidRDefault="00553C8C" w:rsidP="00553C8C">
      <w:pPr>
        <w:numPr>
          <w:ilvl w:val="0"/>
          <w:numId w:val="17"/>
        </w:numPr>
        <w:tabs>
          <w:tab w:val="clear" w:pos="720"/>
          <w:tab w:val="num" w:pos="567"/>
        </w:tabs>
        <w:spacing w:before="100" w:beforeAutospacing="1" w:after="100" w:afterAutospacing="1" w:line="360" w:lineRule="auto"/>
        <w:ind w:left="567" w:hanging="283"/>
        <w:rPr>
          <w:rFonts w:eastAsia="Times New Roman" w:cstheme="minorHAnsi"/>
          <w:lang w:val="en" w:eastAsia="en-GB"/>
        </w:rPr>
      </w:pPr>
      <w:r w:rsidRPr="00553C8C">
        <w:rPr>
          <w:rFonts w:eastAsia="Times New Roman" w:cstheme="minorHAnsi"/>
          <w:lang w:val="en" w:eastAsia="en-GB"/>
        </w:rPr>
        <w:t>timescales for any required action should be consistent with the relevant periods set by TSJ and BCM;</w:t>
      </w:r>
    </w:p>
    <w:p w14:paraId="5207BC8D" w14:textId="77777777" w:rsidR="00553C8C" w:rsidRPr="00553C8C" w:rsidRDefault="00553C8C" w:rsidP="00553C8C">
      <w:pPr>
        <w:numPr>
          <w:ilvl w:val="0"/>
          <w:numId w:val="17"/>
        </w:numPr>
        <w:tabs>
          <w:tab w:val="clear" w:pos="720"/>
          <w:tab w:val="num" w:pos="567"/>
        </w:tabs>
        <w:spacing w:before="100" w:beforeAutospacing="1" w:after="100" w:afterAutospacing="1" w:line="360" w:lineRule="auto"/>
        <w:ind w:left="567" w:hanging="283"/>
        <w:rPr>
          <w:rFonts w:eastAsia="Times New Roman" w:cstheme="minorHAnsi"/>
          <w:lang w:val="en" w:eastAsia="en-GB"/>
        </w:rPr>
      </w:pPr>
      <w:r w:rsidRPr="00553C8C">
        <w:rPr>
          <w:rFonts w:eastAsia="Times New Roman" w:cstheme="minorHAnsi"/>
          <w:lang w:val="en" w:eastAsia="en-GB"/>
        </w:rPr>
        <w:t>no notice of proposed discontinuance should be served immediately in any case (except minor traffic and other offences with no victim) before the period allowed for escalation has passed, unless the relevant timescale for the case does not permit that.</w:t>
      </w:r>
    </w:p>
    <w:p w14:paraId="0DD944BE" w14:textId="77777777" w:rsidR="00553C8C" w:rsidRPr="00553C8C" w:rsidRDefault="000B657B" w:rsidP="00553C8C">
      <w:pPr>
        <w:spacing w:line="360" w:lineRule="auto"/>
        <w:ind w:left="720"/>
        <w:rPr>
          <w:rFonts w:eastAsia="Calibri" w:cstheme="minorHAnsi"/>
          <w:b/>
          <w:bCs/>
        </w:rPr>
      </w:pPr>
      <w:r w:rsidRPr="00553C8C">
        <w:rPr>
          <w:rFonts w:eastAsia="Calibri" w:cstheme="minorHAnsi"/>
          <w:b/>
          <w:bCs/>
        </w:rPr>
        <w:t>Non-Custody</w:t>
      </w:r>
      <w:r w:rsidR="00553C8C" w:rsidRPr="00553C8C">
        <w:rPr>
          <w:rFonts w:eastAsia="Calibri" w:cstheme="minorHAnsi"/>
          <w:b/>
          <w:bCs/>
        </w:rPr>
        <w:t xml:space="preserve"> Time Limit cases</w:t>
      </w:r>
    </w:p>
    <w:tbl>
      <w:tblPr>
        <w:tblW w:w="8260" w:type="dxa"/>
        <w:tblInd w:w="113" w:type="dxa"/>
        <w:tblLook w:val="04A0" w:firstRow="1" w:lastRow="0" w:firstColumn="1" w:lastColumn="0" w:noHBand="0" w:noVBand="1"/>
      </w:tblPr>
      <w:tblGrid>
        <w:gridCol w:w="3000"/>
        <w:gridCol w:w="3160"/>
        <w:gridCol w:w="2100"/>
      </w:tblGrid>
      <w:tr w:rsidR="00553C8C" w:rsidRPr="00553C8C" w14:paraId="76D4AE52" w14:textId="77777777" w:rsidTr="00553C8C">
        <w:trPr>
          <w:trHeight w:val="290"/>
        </w:trPr>
        <w:tc>
          <w:tcPr>
            <w:tcW w:w="3000"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632EE67E"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Request / Escalation stage</w:t>
            </w:r>
          </w:p>
        </w:tc>
        <w:tc>
          <w:tcPr>
            <w:tcW w:w="3160" w:type="dxa"/>
            <w:tcBorders>
              <w:top w:val="single" w:sz="4" w:space="0" w:color="auto"/>
              <w:left w:val="nil"/>
              <w:bottom w:val="single" w:sz="4" w:space="0" w:color="auto"/>
              <w:right w:val="single" w:sz="4" w:space="0" w:color="auto"/>
            </w:tcBorders>
            <w:shd w:val="clear" w:color="auto" w:fill="FFF2CC"/>
            <w:vAlign w:val="bottom"/>
            <w:hideMark/>
          </w:tcPr>
          <w:p w14:paraId="194D55D4"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Who (CPS)</w:t>
            </w:r>
          </w:p>
        </w:tc>
        <w:tc>
          <w:tcPr>
            <w:tcW w:w="2100" w:type="dxa"/>
            <w:tcBorders>
              <w:top w:val="single" w:sz="4" w:space="0" w:color="auto"/>
              <w:left w:val="nil"/>
              <w:bottom w:val="single" w:sz="4" w:space="0" w:color="auto"/>
              <w:right w:val="single" w:sz="4" w:space="0" w:color="auto"/>
            </w:tcBorders>
            <w:shd w:val="clear" w:color="auto" w:fill="FFF2CC"/>
            <w:noWrap/>
            <w:vAlign w:val="bottom"/>
            <w:hideMark/>
          </w:tcPr>
          <w:p w14:paraId="46E268A0"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Who (Police)</w:t>
            </w:r>
          </w:p>
        </w:tc>
      </w:tr>
      <w:tr w:rsidR="00553C8C" w:rsidRPr="00553C8C" w14:paraId="173C8BA6" w14:textId="77777777" w:rsidTr="00553C8C">
        <w:trPr>
          <w:trHeight w:val="870"/>
        </w:trPr>
        <w:tc>
          <w:tcPr>
            <w:tcW w:w="3000" w:type="dxa"/>
            <w:tcBorders>
              <w:top w:val="nil"/>
              <w:left w:val="single" w:sz="4" w:space="0" w:color="auto"/>
              <w:bottom w:val="single" w:sz="4" w:space="0" w:color="auto"/>
              <w:right w:val="single" w:sz="4" w:space="0" w:color="auto"/>
            </w:tcBorders>
            <w:vAlign w:val="bottom"/>
            <w:hideMark/>
          </w:tcPr>
          <w:p w14:paraId="583064B7"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Initial request for file corrections</w:t>
            </w:r>
          </w:p>
        </w:tc>
        <w:tc>
          <w:tcPr>
            <w:tcW w:w="3160" w:type="dxa"/>
            <w:tcBorders>
              <w:top w:val="nil"/>
              <w:left w:val="nil"/>
              <w:bottom w:val="single" w:sz="4" w:space="0" w:color="auto"/>
              <w:right w:val="single" w:sz="4" w:space="0" w:color="auto"/>
            </w:tcBorders>
            <w:vAlign w:val="bottom"/>
            <w:hideMark/>
          </w:tcPr>
          <w:p w14:paraId="5394B418"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 xml:space="preserve">Lawyer reviews and requests file corrections giving a </w:t>
            </w:r>
            <w:r w:rsidR="000B657B" w:rsidRPr="00553C8C">
              <w:rPr>
                <w:rFonts w:eastAsia="Times New Roman" w:cstheme="minorHAnsi"/>
                <w:color w:val="000000"/>
                <w:lang w:eastAsia="en-GB"/>
              </w:rPr>
              <w:t>4-day</w:t>
            </w:r>
            <w:r w:rsidRPr="00553C8C">
              <w:rPr>
                <w:rFonts w:eastAsia="Times New Roman" w:cstheme="minorHAnsi"/>
                <w:color w:val="000000"/>
                <w:lang w:eastAsia="en-GB"/>
              </w:rPr>
              <w:t xml:space="preserve"> timescale</w:t>
            </w:r>
            <w:r w:rsidR="00E52B2B">
              <w:rPr>
                <w:rFonts w:eastAsia="Times New Roman" w:cstheme="minorHAnsi"/>
                <w:color w:val="000000"/>
                <w:lang w:eastAsia="en-GB"/>
              </w:rPr>
              <w:t>*</w:t>
            </w:r>
            <w:r w:rsidRPr="00553C8C">
              <w:rPr>
                <w:rFonts w:eastAsia="Times New Roman" w:cstheme="minorHAnsi"/>
                <w:color w:val="000000"/>
                <w:lang w:eastAsia="en-GB"/>
              </w:rPr>
              <w:t xml:space="preserve"> for a response</w:t>
            </w:r>
          </w:p>
        </w:tc>
        <w:tc>
          <w:tcPr>
            <w:tcW w:w="2100" w:type="dxa"/>
            <w:tcBorders>
              <w:top w:val="nil"/>
              <w:left w:val="nil"/>
              <w:bottom w:val="single" w:sz="4" w:space="0" w:color="auto"/>
              <w:right w:val="single" w:sz="4" w:space="0" w:color="auto"/>
            </w:tcBorders>
            <w:noWrap/>
            <w:vAlign w:val="bottom"/>
            <w:hideMark/>
          </w:tcPr>
          <w:p w14:paraId="0ACDE0FA"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OIC via CJU</w:t>
            </w:r>
          </w:p>
        </w:tc>
      </w:tr>
      <w:tr w:rsidR="00553C8C" w:rsidRPr="00553C8C" w14:paraId="7B34EF62" w14:textId="77777777" w:rsidTr="00553C8C">
        <w:trPr>
          <w:trHeight w:val="580"/>
        </w:trPr>
        <w:tc>
          <w:tcPr>
            <w:tcW w:w="3000" w:type="dxa"/>
            <w:tcBorders>
              <w:top w:val="nil"/>
              <w:left w:val="single" w:sz="4" w:space="0" w:color="auto"/>
              <w:bottom w:val="single" w:sz="4" w:space="0" w:color="auto"/>
              <w:right w:val="single" w:sz="4" w:space="0" w:color="auto"/>
            </w:tcBorders>
            <w:vAlign w:val="bottom"/>
            <w:hideMark/>
          </w:tcPr>
          <w:p w14:paraId="08C614F5"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1st escalation if no response from OIC</w:t>
            </w:r>
          </w:p>
        </w:tc>
        <w:tc>
          <w:tcPr>
            <w:tcW w:w="3160" w:type="dxa"/>
            <w:tcBorders>
              <w:top w:val="nil"/>
              <w:left w:val="nil"/>
              <w:bottom w:val="single" w:sz="4" w:space="0" w:color="auto"/>
              <w:right w:val="single" w:sz="4" w:space="0" w:color="auto"/>
            </w:tcBorders>
            <w:vAlign w:val="bottom"/>
            <w:hideMark/>
          </w:tcPr>
          <w:p w14:paraId="321EB094"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 xml:space="preserve">DCP escalates giving a </w:t>
            </w:r>
            <w:r w:rsidR="000B657B" w:rsidRPr="00553C8C">
              <w:rPr>
                <w:rFonts w:eastAsia="Times New Roman" w:cstheme="minorHAnsi"/>
                <w:color w:val="000000"/>
                <w:lang w:eastAsia="en-GB"/>
              </w:rPr>
              <w:t>3-day</w:t>
            </w:r>
            <w:r w:rsidRPr="00553C8C">
              <w:rPr>
                <w:rFonts w:eastAsia="Times New Roman" w:cstheme="minorHAnsi"/>
                <w:color w:val="000000"/>
                <w:lang w:eastAsia="en-GB"/>
              </w:rPr>
              <w:t xml:space="preserve"> timescale</w:t>
            </w:r>
            <w:r w:rsidR="00E52B2B">
              <w:rPr>
                <w:rFonts w:eastAsia="Times New Roman" w:cstheme="minorHAnsi"/>
                <w:color w:val="000000"/>
                <w:lang w:eastAsia="en-GB"/>
              </w:rPr>
              <w:t>*</w:t>
            </w:r>
            <w:r w:rsidRPr="00553C8C">
              <w:rPr>
                <w:rFonts w:eastAsia="Times New Roman" w:cstheme="minorHAnsi"/>
                <w:color w:val="000000"/>
                <w:lang w:eastAsia="en-GB"/>
              </w:rPr>
              <w:t xml:space="preserve"> for a response</w:t>
            </w:r>
          </w:p>
        </w:tc>
        <w:tc>
          <w:tcPr>
            <w:tcW w:w="2100" w:type="dxa"/>
            <w:tcBorders>
              <w:top w:val="nil"/>
              <w:left w:val="nil"/>
              <w:bottom w:val="single" w:sz="4" w:space="0" w:color="auto"/>
              <w:right w:val="single" w:sz="4" w:space="0" w:color="auto"/>
            </w:tcBorders>
            <w:noWrap/>
            <w:vAlign w:val="bottom"/>
            <w:hideMark/>
          </w:tcPr>
          <w:p w14:paraId="5E68F2BC"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 xml:space="preserve">Local CJ Managers </w:t>
            </w:r>
          </w:p>
        </w:tc>
      </w:tr>
      <w:tr w:rsidR="00553C8C" w:rsidRPr="00553C8C" w14:paraId="1EC20696" w14:textId="77777777" w:rsidTr="00553C8C">
        <w:trPr>
          <w:trHeight w:val="580"/>
        </w:trPr>
        <w:tc>
          <w:tcPr>
            <w:tcW w:w="3000" w:type="dxa"/>
            <w:tcBorders>
              <w:top w:val="nil"/>
              <w:left w:val="single" w:sz="4" w:space="0" w:color="auto"/>
              <w:bottom w:val="single" w:sz="4" w:space="0" w:color="auto"/>
              <w:right w:val="single" w:sz="4" w:space="0" w:color="auto"/>
            </w:tcBorders>
            <w:vAlign w:val="bottom"/>
            <w:hideMark/>
          </w:tcPr>
          <w:p w14:paraId="38D081AE"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2nd escalation if items still outstanding</w:t>
            </w:r>
          </w:p>
        </w:tc>
        <w:tc>
          <w:tcPr>
            <w:tcW w:w="3160" w:type="dxa"/>
            <w:tcBorders>
              <w:top w:val="nil"/>
              <w:left w:val="nil"/>
              <w:bottom w:val="single" w:sz="4" w:space="0" w:color="auto"/>
              <w:right w:val="single" w:sz="4" w:space="0" w:color="auto"/>
            </w:tcBorders>
            <w:vAlign w:val="bottom"/>
            <w:hideMark/>
          </w:tcPr>
          <w:p w14:paraId="320BCC73"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SDCP escalates</w:t>
            </w:r>
          </w:p>
        </w:tc>
        <w:tc>
          <w:tcPr>
            <w:tcW w:w="2100" w:type="dxa"/>
            <w:tcBorders>
              <w:top w:val="nil"/>
              <w:left w:val="nil"/>
              <w:bottom w:val="single" w:sz="4" w:space="0" w:color="auto"/>
              <w:right w:val="single" w:sz="4" w:space="0" w:color="auto"/>
            </w:tcBorders>
            <w:vAlign w:val="bottom"/>
            <w:hideMark/>
          </w:tcPr>
          <w:p w14:paraId="09AF2242" w14:textId="15AF024E" w:rsidR="00553C8C" w:rsidRPr="00553C8C" w:rsidRDefault="00553C8C" w:rsidP="00553C8C">
            <w:pPr>
              <w:spacing w:line="360" w:lineRule="auto"/>
              <w:rPr>
                <w:rFonts w:eastAsia="Times New Roman" w:cstheme="minorHAnsi"/>
                <w:color w:val="000000"/>
                <w:lang w:eastAsia="en-GB"/>
              </w:rPr>
            </w:pPr>
            <w:r w:rsidRPr="00553C8C">
              <w:rPr>
                <w:rFonts w:eastAsia="Calibri" w:cstheme="minorHAnsi"/>
              </w:rPr>
              <w:t>Superintendent</w:t>
            </w:r>
            <w:r w:rsidR="0049452F">
              <w:rPr>
                <w:rFonts w:eastAsia="Calibri" w:cstheme="minorHAnsi"/>
              </w:rPr>
              <w:t xml:space="preserve"> or equivalent</w:t>
            </w:r>
          </w:p>
        </w:tc>
      </w:tr>
    </w:tbl>
    <w:p w14:paraId="14835C58" w14:textId="77777777" w:rsidR="00553C8C" w:rsidRPr="00E52B2B" w:rsidRDefault="00E52B2B" w:rsidP="00553C8C">
      <w:pPr>
        <w:spacing w:line="360" w:lineRule="auto"/>
        <w:ind w:left="720"/>
        <w:rPr>
          <w:rFonts w:eastAsia="Calibri" w:cstheme="minorHAnsi"/>
        </w:rPr>
      </w:pPr>
      <w:r w:rsidRPr="00E52B2B">
        <w:rPr>
          <w:rFonts w:eastAsia="Calibri" w:cstheme="minorHAnsi"/>
        </w:rPr>
        <w:t>*suggested</w:t>
      </w:r>
      <w:r w:rsidR="00A6492A">
        <w:rPr>
          <w:rFonts w:eastAsia="Calibri" w:cstheme="minorHAnsi"/>
        </w:rPr>
        <w:t xml:space="preserve"> timescale</w:t>
      </w:r>
    </w:p>
    <w:p w14:paraId="0E7A6A1F" w14:textId="77777777" w:rsidR="00553C8C" w:rsidRPr="00553C8C" w:rsidRDefault="00553C8C" w:rsidP="00553C8C">
      <w:pPr>
        <w:spacing w:line="360" w:lineRule="auto"/>
        <w:ind w:left="720"/>
        <w:rPr>
          <w:rFonts w:eastAsia="Calibri" w:cstheme="minorHAnsi"/>
          <w:b/>
          <w:bCs/>
        </w:rPr>
      </w:pPr>
      <w:r w:rsidRPr="00553C8C">
        <w:rPr>
          <w:rFonts w:eastAsia="Calibri" w:cstheme="minorHAnsi"/>
          <w:b/>
          <w:bCs/>
        </w:rPr>
        <w:lastRenderedPageBreak/>
        <w:t>Custody Time Limit Case Escalations</w:t>
      </w:r>
    </w:p>
    <w:tbl>
      <w:tblPr>
        <w:tblW w:w="8260" w:type="dxa"/>
        <w:tblInd w:w="113" w:type="dxa"/>
        <w:tblLook w:val="04A0" w:firstRow="1" w:lastRow="0" w:firstColumn="1" w:lastColumn="0" w:noHBand="0" w:noVBand="1"/>
      </w:tblPr>
      <w:tblGrid>
        <w:gridCol w:w="3000"/>
        <w:gridCol w:w="3160"/>
        <w:gridCol w:w="2100"/>
      </w:tblGrid>
      <w:tr w:rsidR="00553C8C" w:rsidRPr="00553C8C" w14:paraId="37118822" w14:textId="77777777" w:rsidTr="00553C8C">
        <w:trPr>
          <w:trHeight w:val="290"/>
        </w:trPr>
        <w:tc>
          <w:tcPr>
            <w:tcW w:w="3000"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0945EC0D"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Request / Escalation stage</w:t>
            </w:r>
          </w:p>
        </w:tc>
        <w:tc>
          <w:tcPr>
            <w:tcW w:w="3160" w:type="dxa"/>
            <w:tcBorders>
              <w:top w:val="single" w:sz="4" w:space="0" w:color="auto"/>
              <w:left w:val="nil"/>
              <w:bottom w:val="single" w:sz="4" w:space="0" w:color="auto"/>
              <w:right w:val="single" w:sz="4" w:space="0" w:color="auto"/>
            </w:tcBorders>
            <w:shd w:val="clear" w:color="auto" w:fill="FFF2CC"/>
            <w:vAlign w:val="bottom"/>
            <w:hideMark/>
          </w:tcPr>
          <w:p w14:paraId="5A7D5875"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Who (CPS)</w:t>
            </w:r>
          </w:p>
        </w:tc>
        <w:tc>
          <w:tcPr>
            <w:tcW w:w="2100" w:type="dxa"/>
            <w:tcBorders>
              <w:top w:val="single" w:sz="4" w:space="0" w:color="auto"/>
              <w:left w:val="nil"/>
              <w:bottom w:val="single" w:sz="4" w:space="0" w:color="auto"/>
              <w:right w:val="single" w:sz="4" w:space="0" w:color="auto"/>
            </w:tcBorders>
            <w:shd w:val="clear" w:color="auto" w:fill="FFF2CC"/>
            <w:noWrap/>
            <w:vAlign w:val="bottom"/>
            <w:hideMark/>
          </w:tcPr>
          <w:p w14:paraId="15B76104"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Who (Police)</w:t>
            </w:r>
          </w:p>
        </w:tc>
      </w:tr>
      <w:tr w:rsidR="00553C8C" w:rsidRPr="00553C8C" w14:paraId="09D07B26" w14:textId="77777777" w:rsidTr="00553C8C">
        <w:trPr>
          <w:trHeight w:val="870"/>
        </w:trPr>
        <w:tc>
          <w:tcPr>
            <w:tcW w:w="3000" w:type="dxa"/>
            <w:tcBorders>
              <w:top w:val="nil"/>
              <w:left w:val="single" w:sz="4" w:space="0" w:color="auto"/>
              <w:bottom w:val="single" w:sz="4" w:space="0" w:color="auto"/>
              <w:right w:val="single" w:sz="4" w:space="0" w:color="auto"/>
            </w:tcBorders>
            <w:vAlign w:val="bottom"/>
            <w:hideMark/>
          </w:tcPr>
          <w:p w14:paraId="36A0443D"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Initial request for file corrections</w:t>
            </w:r>
          </w:p>
        </w:tc>
        <w:tc>
          <w:tcPr>
            <w:tcW w:w="3160" w:type="dxa"/>
            <w:tcBorders>
              <w:top w:val="nil"/>
              <w:left w:val="nil"/>
              <w:bottom w:val="single" w:sz="4" w:space="0" w:color="auto"/>
              <w:right w:val="single" w:sz="4" w:space="0" w:color="auto"/>
            </w:tcBorders>
            <w:vAlign w:val="bottom"/>
            <w:hideMark/>
          </w:tcPr>
          <w:p w14:paraId="3D66A15E"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 xml:space="preserve">Lawyer reviews and requests missing items giving a </w:t>
            </w:r>
            <w:r w:rsidR="000B657B" w:rsidRPr="00553C8C">
              <w:rPr>
                <w:rFonts w:eastAsia="Times New Roman" w:cstheme="minorHAnsi"/>
                <w:color w:val="000000"/>
                <w:lang w:eastAsia="en-GB"/>
              </w:rPr>
              <w:t>3-day</w:t>
            </w:r>
            <w:r w:rsidRPr="00553C8C">
              <w:rPr>
                <w:rFonts w:eastAsia="Times New Roman" w:cstheme="minorHAnsi"/>
                <w:color w:val="000000"/>
                <w:lang w:eastAsia="en-GB"/>
              </w:rPr>
              <w:t xml:space="preserve"> timescale</w:t>
            </w:r>
            <w:r w:rsidR="00A6492A">
              <w:rPr>
                <w:rFonts w:eastAsia="Times New Roman" w:cstheme="minorHAnsi"/>
                <w:color w:val="000000"/>
                <w:lang w:eastAsia="en-GB"/>
              </w:rPr>
              <w:t>*</w:t>
            </w:r>
            <w:r w:rsidRPr="00553C8C">
              <w:rPr>
                <w:rFonts w:eastAsia="Times New Roman" w:cstheme="minorHAnsi"/>
                <w:color w:val="000000"/>
                <w:lang w:eastAsia="en-GB"/>
              </w:rPr>
              <w:t xml:space="preserve"> for a response</w:t>
            </w:r>
          </w:p>
        </w:tc>
        <w:tc>
          <w:tcPr>
            <w:tcW w:w="2100" w:type="dxa"/>
            <w:tcBorders>
              <w:top w:val="nil"/>
              <w:left w:val="nil"/>
              <w:bottom w:val="single" w:sz="4" w:space="0" w:color="auto"/>
              <w:right w:val="single" w:sz="4" w:space="0" w:color="auto"/>
            </w:tcBorders>
            <w:noWrap/>
            <w:vAlign w:val="bottom"/>
            <w:hideMark/>
          </w:tcPr>
          <w:p w14:paraId="25495862"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OIC via CJU</w:t>
            </w:r>
          </w:p>
        </w:tc>
      </w:tr>
      <w:tr w:rsidR="00553C8C" w:rsidRPr="00553C8C" w14:paraId="597BC7F4" w14:textId="77777777" w:rsidTr="00553C8C">
        <w:trPr>
          <w:trHeight w:val="580"/>
        </w:trPr>
        <w:tc>
          <w:tcPr>
            <w:tcW w:w="3000" w:type="dxa"/>
            <w:tcBorders>
              <w:top w:val="nil"/>
              <w:left w:val="single" w:sz="4" w:space="0" w:color="auto"/>
              <w:bottom w:val="single" w:sz="4" w:space="0" w:color="auto"/>
              <w:right w:val="single" w:sz="4" w:space="0" w:color="auto"/>
            </w:tcBorders>
            <w:vAlign w:val="bottom"/>
            <w:hideMark/>
          </w:tcPr>
          <w:p w14:paraId="1E112897"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1st escalation if no response from OIC</w:t>
            </w:r>
          </w:p>
        </w:tc>
        <w:tc>
          <w:tcPr>
            <w:tcW w:w="3160" w:type="dxa"/>
            <w:tcBorders>
              <w:top w:val="nil"/>
              <w:left w:val="nil"/>
              <w:bottom w:val="single" w:sz="4" w:space="0" w:color="auto"/>
              <w:right w:val="single" w:sz="4" w:space="0" w:color="auto"/>
            </w:tcBorders>
            <w:vAlign w:val="bottom"/>
            <w:hideMark/>
          </w:tcPr>
          <w:p w14:paraId="134EDCC9"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 xml:space="preserve">DCP escalates giving a </w:t>
            </w:r>
            <w:r w:rsidR="000B657B" w:rsidRPr="00553C8C">
              <w:rPr>
                <w:rFonts w:eastAsia="Times New Roman" w:cstheme="minorHAnsi"/>
                <w:color w:val="000000"/>
                <w:lang w:eastAsia="en-GB"/>
              </w:rPr>
              <w:t>2-day</w:t>
            </w:r>
            <w:r w:rsidRPr="00553C8C">
              <w:rPr>
                <w:rFonts w:eastAsia="Times New Roman" w:cstheme="minorHAnsi"/>
                <w:color w:val="000000"/>
                <w:lang w:eastAsia="en-GB"/>
              </w:rPr>
              <w:t xml:space="preserve"> timescale</w:t>
            </w:r>
            <w:r w:rsidR="00A6492A">
              <w:rPr>
                <w:rFonts w:eastAsia="Times New Roman" w:cstheme="minorHAnsi"/>
                <w:color w:val="000000"/>
                <w:lang w:eastAsia="en-GB"/>
              </w:rPr>
              <w:t>*</w:t>
            </w:r>
            <w:r w:rsidRPr="00553C8C">
              <w:rPr>
                <w:rFonts w:eastAsia="Times New Roman" w:cstheme="minorHAnsi"/>
                <w:color w:val="000000"/>
                <w:lang w:eastAsia="en-GB"/>
              </w:rPr>
              <w:t xml:space="preserve"> for a response</w:t>
            </w:r>
          </w:p>
        </w:tc>
        <w:tc>
          <w:tcPr>
            <w:tcW w:w="2100" w:type="dxa"/>
            <w:tcBorders>
              <w:top w:val="nil"/>
              <w:left w:val="nil"/>
              <w:bottom w:val="single" w:sz="4" w:space="0" w:color="auto"/>
              <w:right w:val="single" w:sz="4" w:space="0" w:color="auto"/>
            </w:tcBorders>
            <w:noWrap/>
            <w:vAlign w:val="bottom"/>
            <w:hideMark/>
          </w:tcPr>
          <w:p w14:paraId="5378B9C6"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 xml:space="preserve">Local CJ Managers </w:t>
            </w:r>
          </w:p>
        </w:tc>
      </w:tr>
      <w:tr w:rsidR="00553C8C" w:rsidRPr="00553C8C" w14:paraId="3833FD6B" w14:textId="77777777" w:rsidTr="00553C8C">
        <w:trPr>
          <w:trHeight w:val="580"/>
        </w:trPr>
        <w:tc>
          <w:tcPr>
            <w:tcW w:w="3000" w:type="dxa"/>
            <w:tcBorders>
              <w:top w:val="nil"/>
              <w:left w:val="single" w:sz="4" w:space="0" w:color="auto"/>
              <w:bottom w:val="single" w:sz="4" w:space="0" w:color="auto"/>
              <w:right w:val="single" w:sz="4" w:space="0" w:color="auto"/>
            </w:tcBorders>
            <w:vAlign w:val="bottom"/>
            <w:hideMark/>
          </w:tcPr>
          <w:p w14:paraId="7CB2D279"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2nd escalation if items still outstanding</w:t>
            </w:r>
          </w:p>
        </w:tc>
        <w:tc>
          <w:tcPr>
            <w:tcW w:w="3160" w:type="dxa"/>
            <w:tcBorders>
              <w:top w:val="nil"/>
              <w:left w:val="nil"/>
              <w:bottom w:val="single" w:sz="4" w:space="0" w:color="auto"/>
              <w:right w:val="single" w:sz="4" w:space="0" w:color="auto"/>
            </w:tcBorders>
            <w:vAlign w:val="bottom"/>
            <w:hideMark/>
          </w:tcPr>
          <w:p w14:paraId="73416F4E" w14:textId="77777777" w:rsidR="00553C8C" w:rsidRPr="00553C8C" w:rsidRDefault="00553C8C" w:rsidP="00553C8C">
            <w:pPr>
              <w:spacing w:line="360" w:lineRule="auto"/>
              <w:rPr>
                <w:rFonts w:eastAsia="Times New Roman" w:cstheme="minorHAnsi"/>
                <w:color w:val="000000"/>
                <w:lang w:eastAsia="en-GB"/>
              </w:rPr>
            </w:pPr>
            <w:r w:rsidRPr="00553C8C">
              <w:rPr>
                <w:rFonts w:eastAsia="Times New Roman" w:cstheme="minorHAnsi"/>
                <w:color w:val="000000"/>
                <w:lang w:eastAsia="en-GB"/>
              </w:rPr>
              <w:t>SDCP escalates</w:t>
            </w:r>
          </w:p>
        </w:tc>
        <w:tc>
          <w:tcPr>
            <w:tcW w:w="2100" w:type="dxa"/>
            <w:tcBorders>
              <w:top w:val="nil"/>
              <w:left w:val="nil"/>
              <w:bottom w:val="single" w:sz="4" w:space="0" w:color="auto"/>
              <w:right w:val="single" w:sz="4" w:space="0" w:color="auto"/>
            </w:tcBorders>
            <w:vAlign w:val="bottom"/>
            <w:hideMark/>
          </w:tcPr>
          <w:p w14:paraId="3057ED36" w14:textId="6A542D32" w:rsidR="00553C8C" w:rsidRPr="00553C8C" w:rsidRDefault="00553C8C" w:rsidP="00553C8C">
            <w:pPr>
              <w:spacing w:line="360" w:lineRule="auto"/>
              <w:rPr>
                <w:rFonts w:eastAsia="Times New Roman" w:cstheme="minorHAnsi"/>
                <w:color w:val="000000"/>
                <w:lang w:eastAsia="en-GB"/>
              </w:rPr>
            </w:pPr>
            <w:r w:rsidRPr="00553C8C">
              <w:rPr>
                <w:rFonts w:eastAsia="Calibri" w:cstheme="minorHAnsi"/>
              </w:rPr>
              <w:t>Superintendent</w:t>
            </w:r>
            <w:r w:rsidR="0049452F">
              <w:rPr>
                <w:rFonts w:eastAsia="Calibri" w:cstheme="minorHAnsi"/>
              </w:rPr>
              <w:t xml:space="preserve"> or equivalent</w:t>
            </w:r>
          </w:p>
        </w:tc>
      </w:tr>
    </w:tbl>
    <w:p w14:paraId="3D8DD2AE" w14:textId="77777777" w:rsidR="00553C8C" w:rsidRPr="00553C8C" w:rsidRDefault="00A6492A" w:rsidP="00A6492A">
      <w:pPr>
        <w:spacing w:line="360" w:lineRule="auto"/>
        <w:ind w:firstLine="720"/>
        <w:rPr>
          <w:rFonts w:eastAsia="Calibri" w:cstheme="minorHAnsi"/>
        </w:rPr>
      </w:pPr>
      <w:r w:rsidRPr="00A6492A">
        <w:rPr>
          <w:rFonts w:eastAsia="Calibri" w:cstheme="minorHAnsi"/>
        </w:rPr>
        <w:t>*suggested time</w:t>
      </w:r>
      <w:r>
        <w:rPr>
          <w:rFonts w:eastAsia="Calibri" w:cstheme="minorHAnsi"/>
        </w:rPr>
        <w:t>s</w:t>
      </w:r>
      <w:r w:rsidRPr="00A6492A">
        <w:rPr>
          <w:rFonts w:eastAsia="Calibri" w:cstheme="minorHAnsi"/>
        </w:rPr>
        <w:t>cale</w:t>
      </w:r>
    </w:p>
    <w:p w14:paraId="04D82AC4" w14:textId="77777777" w:rsidR="00553C8C" w:rsidRPr="00553C8C" w:rsidRDefault="00553C8C" w:rsidP="00553C8C">
      <w:pPr>
        <w:spacing w:line="360" w:lineRule="auto"/>
        <w:rPr>
          <w:rFonts w:eastAsia="Calibri" w:cstheme="minorHAnsi"/>
        </w:rPr>
      </w:pPr>
      <w:r w:rsidRPr="00553C8C">
        <w:rPr>
          <w:rFonts w:eastAsia="Calibri" w:cstheme="minorHAnsi"/>
        </w:rPr>
        <w:t xml:space="preserve">Escalations in relation to ad hoc directions will follow the above principals accepting timescales will be affected by the </w:t>
      </w:r>
      <w:r w:rsidR="00E52B2B">
        <w:rPr>
          <w:rFonts w:eastAsia="Calibri" w:cstheme="minorHAnsi"/>
        </w:rPr>
        <w:t>schedule</w:t>
      </w:r>
      <w:r w:rsidRPr="00553C8C">
        <w:rPr>
          <w:rFonts w:eastAsia="Calibri" w:cstheme="minorHAnsi"/>
        </w:rPr>
        <w:t xml:space="preserve"> set by HMCTS.</w:t>
      </w:r>
    </w:p>
    <w:p w14:paraId="73ED549A" w14:textId="77777777" w:rsidR="00553C8C" w:rsidRDefault="00553C8C" w:rsidP="00553C8C">
      <w:pPr>
        <w:spacing w:line="360" w:lineRule="auto"/>
        <w:rPr>
          <w:rFonts w:eastAsia="Calibri" w:cstheme="minorHAnsi"/>
          <w:i/>
        </w:rPr>
      </w:pPr>
    </w:p>
    <w:p w14:paraId="72D38902" w14:textId="77777777" w:rsidR="00553C8C" w:rsidRPr="00553C8C" w:rsidRDefault="00553C8C" w:rsidP="00553C8C">
      <w:pPr>
        <w:spacing w:line="360" w:lineRule="auto"/>
        <w:rPr>
          <w:rFonts w:eastAsia="Calibri" w:cstheme="minorHAnsi"/>
          <w:i/>
        </w:rPr>
      </w:pPr>
    </w:p>
    <w:p w14:paraId="383C15AD" w14:textId="77777777" w:rsidR="007D003C" w:rsidRPr="00553C8C" w:rsidRDefault="007D003C" w:rsidP="00553C8C">
      <w:pPr>
        <w:pStyle w:val="ListParagraph"/>
        <w:numPr>
          <w:ilvl w:val="0"/>
          <w:numId w:val="2"/>
        </w:numPr>
        <w:spacing w:line="360" w:lineRule="auto"/>
        <w:rPr>
          <w:rFonts w:asciiTheme="minorHAnsi" w:hAnsiTheme="minorHAnsi" w:cstheme="minorHAnsi"/>
          <w:b/>
          <w:bCs/>
          <w:sz w:val="22"/>
          <w:szCs w:val="22"/>
        </w:rPr>
      </w:pPr>
      <w:r w:rsidRPr="00553C8C">
        <w:rPr>
          <w:rFonts w:asciiTheme="minorHAnsi" w:hAnsiTheme="minorHAnsi" w:cstheme="minorHAnsi"/>
          <w:b/>
          <w:bCs/>
          <w:sz w:val="22"/>
          <w:szCs w:val="22"/>
        </w:rPr>
        <w:t>Review</w:t>
      </w:r>
    </w:p>
    <w:p w14:paraId="741862BD" w14:textId="77777777" w:rsidR="007D003C" w:rsidRPr="00553C8C" w:rsidRDefault="007D003C" w:rsidP="00553C8C">
      <w:pPr>
        <w:spacing w:line="360" w:lineRule="auto"/>
        <w:rPr>
          <w:rFonts w:cstheme="minorHAnsi"/>
        </w:rPr>
      </w:pPr>
      <w:r w:rsidRPr="00553C8C">
        <w:rPr>
          <w:rFonts w:cstheme="minorHAnsi"/>
        </w:rPr>
        <w:t>This document will be reviewed on an annual basis by NDIP.</w:t>
      </w:r>
    </w:p>
    <w:sectPr w:rsidR="007D003C" w:rsidRPr="00553C8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EAF18" w14:textId="77777777" w:rsidR="00064890" w:rsidRDefault="00064890" w:rsidP="007D003C">
      <w:r>
        <w:separator/>
      </w:r>
    </w:p>
  </w:endnote>
  <w:endnote w:type="continuationSeparator" w:id="0">
    <w:p w14:paraId="34BB83A2" w14:textId="77777777" w:rsidR="00064890" w:rsidRDefault="00064890" w:rsidP="007D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82E9D" w14:textId="77777777" w:rsidR="007D003C" w:rsidRDefault="007D003C" w:rsidP="0084541D">
    <w:pPr>
      <w:pStyle w:val="Footer"/>
      <w:jc w:val="right"/>
    </w:pPr>
    <w:r>
      <w:rPr>
        <w:noProof/>
      </w:rPr>
      <mc:AlternateContent>
        <mc:Choice Requires="wpg">
          <w:drawing>
            <wp:anchor distT="0" distB="0" distL="114300" distR="114300" simplePos="0" relativeHeight="251659264" behindDoc="0" locked="0" layoutInCell="1" allowOverlap="1" wp14:anchorId="2678075E" wp14:editId="65BF5D2A">
              <wp:simplePos x="0" y="0"/>
              <wp:positionH relativeFrom="page">
                <wp:posOffset>1390650</wp:posOffset>
              </wp:positionH>
              <wp:positionV relativeFrom="bottomMargin">
                <wp:posOffset>185420</wp:posOffset>
              </wp:positionV>
              <wp:extent cx="6172200" cy="40767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407670"/>
                        <a:chOff x="0" y="-133350"/>
                        <a:chExt cx="6172200" cy="40767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133350"/>
                          <a:ext cx="5943600" cy="395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6010D" w14:textId="77777777" w:rsidR="007D003C" w:rsidRDefault="007D003C">
                            <w:pPr>
                              <w:pStyle w:val="Footer"/>
                              <w:jc w:val="right"/>
                            </w:pPr>
                            <w:r>
                              <w:rPr>
                                <w:caps/>
                                <w:color w:val="808080" w:themeColor="background1" w:themeShade="80"/>
                                <w:sz w:val="20"/>
                                <w:szCs w:val="20"/>
                              </w:rPr>
                              <w:t>b</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678075E" id="Group 164" o:spid="_x0000_s1026" style="position:absolute;left:0;text-align:left;margin-left:109.5pt;margin-top:14.6pt;width:486pt;height:32.1pt;z-index:251659264;mso-position-horizontal-relative:page;mso-position-vertical-relative:bottom-margin-area;mso-height-relative:margin" coordorigin=",-1333" coordsize="61722,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1333;width:59436;height:3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7966010D" w14:textId="77777777" w:rsidR="007D003C" w:rsidRDefault="007D003C">
                      <w:pPr>
                        <w:pStyle w:val="Footer"/>
                        <w:jc w:val="right"/>
                      </w:pPr>
                      <w:r>
                        <w:rPr>
                          <w:caps/>
                          <w:color w:val="808080" w:themeColor="background1" w:themeShade="80"/>
                          <w:sz w:val="20"/>
                          <w:szCs w:val="20"/>
                        </w:rPr>
                        <w:t>b</w:t>
                      </w:r>
                    </w:p>
                  </w:txbxContent>
                </v:textbox>
              </v:shape>
              <w10:wrap anchorx="page" anchory="margin"/>
            </v:group>
          </w:pict>
        </mc:Fallback>
      </mc:AlternateContent>
    </w:r>
    <w:r>
      <w:t xml:space="preserve">Version 1 agreed by NDIP </w:t>
    </w:r>
    <w:sdt>
      <w:sdtPr>
        <w:rPr>
          <w:caps/>
          <w:color w:val="4F81BD" w:themeColor="accent1"/>
          <w:sz w:val="20"/>
          <w:szCs w:val="20"/>
        </w:rPr>
        <w:alias w:val="Title"/>
        <w:tag w:val=""/>
        <w:id w:val="-1145960388"/>
        <w:showingPlcHdr/>
        <w:dataBinding w:prefixMappings="xmlns:ns0='http://purl.org/dc/elements/1.1/' xmlns:ns1='http://schemas.openxmlformats.org/package/2006/metadata/core-properties' " w:xpath="/ns1:coreProperties[1]/ns0:title[1]" w:storeItemID="{6C3C8BC8-F283-45AE-878A-BAB7291924A1}"/>
        <w:text/>
      </w:sdtPr>
      <w:sdtEndPr/>
      <w:sdtContent>
        <w:r>
          <w:rPr>
            <w:caps/>
            <w:color w:val="4F81BD" w:themeColor="accent1"/>
            <w:sz w:val="20"/>
            <w:szCs w:val="20"/>
          </w:rPr>
          <w:t xml:space="preserve">     </w:t>
        </w:r>
      </w:sdtContent>
    </w:sdt>
    <w:r>
      <w:rPr>
        <w:caps/>
        <w:color w:val="808080" w:themeColor="background1" w:themeShade="80"/>
        <w:sz w:val="20"/>
        <w:szCs w:val="20"/>
      </w:rPr>
      <w:t> |</w:t>
    </w:r>
    <w:r>
      <w:t xml:space="preserve"> 14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EA75C" w14:textId="77777777" w:rsidR="00064890" w:rsidRDefault="00064890" w:rsidP="007D003C">
      <w:r>
        <w:separator/>
      </w:r>
    </w:p>
  </w:footnote>
  <w:footnote w:type="continuationSeparator" w:id="0">
    <w:p w14:paraId="2172382A" w14:textId="77777777" w:rsidR="00064890" w:rsidRDefault="00064890" w:rsidP="007D0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EBE3D" w14:textId="77777777" w:rsidR="0084541D" w:rsidRDefault="0084541D" w:rsidP="0084541D">
    <w:pPr>
      <w:pStyle w:val="Header"/>
      <w:jc w:val="center"/>
    </w:pPr>
    <w:r>
      <w:rPr>
        <w:noProof/>
        <w:lang w:eastAsia="en-GB"/>
      </w:rPr>
      <w:drawing>
        <wp:inline distT="0" distB="0" distL="0" distR="0" wp14:anchorId="08599275" wp14:editId="6F54423B">
          <wp:extent cx="1598539" cy="659903"/>
          <wp:effectExtent l="0" t="0" r="1905" b="6985"/>
          <wp:docPr id="4" name="Picture 4" descr="AC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98539" cy="659903"/>
                  </a:xfrm>
                  <a:prstGeom prst="rect">
                    <a:avLst/>
                  </a:prstGeom>
                </pic:spPr>
              </pic:pic>
            </a:graphicData>
          </a:graphic>
        </wp:inline>
      </w:drawing>
    </w:r>
    <w:r>
      <w:rPr>
        <w:noProof/>
      </w:rPr>
      <w:drawing>
        <wp:inline distT="0" distB="0" distL="0" distR="0" wp14:anchorId="0E7DC653" wp14:editId="0A2E1F6B">
          <wp:extent cx="1061085" cy="719455"/>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1085" cy="719455"/>
                  </a:xfrm>
                  <a:prstGeom prst="rect">
                    <a:avLst/>
                  </a:prstGeom>
                  <a:noFill/>
                </pic:spPr>
              </pic:pic>
            </a:graphicData>
          </a:graphic>
        </wp:inline>
      </w:drawing>
    </w:r>
  </w:p>
  <w:p w14:paraId="6A54EF9E" w14:textId="77777777" w:rsidR="0084541D" w:rsidRDefault="00845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6026"/>
    <w:multiLevelType w:val="hybridMultilevel"/>
    <w:tmpl w:val="93FA69BA"/>
    <w:lvl w:ilvl="0" w:tplc="08090001">
      <w:start w:val="1"/>
      <w:numFmt w:val="bullet"/>
      <w:lvlText w:val=""/>
      <w:lvlJc w:val="left"/>
      <w:pPr>
        <w:ind w:left="1484" w:hanging="720"/>
      </w:pPr>
      <w:rPr>
        <w:rFonts w:ascii="Symbol" w:hAnsi="Symbol" w:hint="default"/>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1" w15:restartNumberingAfterBreak="0">
    <w:nsid w:val="055E1A3C"/>
    <w:multiLevelType w:val="hybridMultilevel"/>
    <w:tmpl w:val="47A0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60D7F"/>
    <w:multiLevelType w:val="hybridMultilevel"/>
    <w:tmpl w:val="F208DBCE"/>
    <w:lvl w:ilvl="0" w:tplc="25967958">
      <w:start w:val="1"/>
      <w:numFmt w:val="bullet"/>
      <w:lvlText w:val="•"/>
      <w:lvlJc w:val="left"/>
      <w:pPr>
        <w:tabs>
          <w:tab w:val="num" w:pos="720"/>
        </w:tabs>
        <w:ind w:left="720" w:hanging="360"/>
      </w:pPr>
      <w:rPr>
        <w:rFonts w:ascii="Arial" w:hAnsi="Arial" w:hint="default"/>
      </w:rPr>
    </w:lvl>
    <w:lvl w:ilvl="1" w:tplc="BAB8ADEE" w:tentative="1">
      <w:start w:val="1"/>
      <w:numFmt w:val="bullet"/>
      <w:lvlText w:val="•"/>
      <w:lvlJc w:val="left"/>
      <w:pPr>
        <w:tabs>
          <w:tab w:val="num" w:pos="1440"/>
        </w:tabs>
        <w:ind w:left="1440" w:hanging="360"/>
      </w:pPr>
      <w:rPr>
        <w:rFonts w:ascii="Arial" w:hAnsi="Arial" w:hint="default"/>
      </w:rPr>
    </w:lvl>
    <w:lvl w:ilvl="2" w:tplc="0714C7CA" w:tentative="1">
      <w:start w:val="1"/>
      <w:numFmt w:val="bullet"/>
      <w:lvlText w:val="•"/>
      <w:lvlJc w:val="left"/>
      <w:pPr>
        <w:tabs>
          <w:tab w:val="num" w:pos="2160"/>
        </w:tabs>
        <w:ind w:left="2160" w:hanging="360"/>
      </w:pPr>
      <w:rPr>
        <w:rFonts w:ascii="Arial" w:hAnsi="Arial" w:hint="default"/>
      </w:rPr>
    </w:lvl>
    <w:lvl w:ilvl="3" w:tplc="3932A974" w:tentative="1">
      <w:start w:val="1"/>
      <w:numFmt w:val="bullet"/>
      <w:lvlText w:val="•"/>
      <w:lvlJc w:val="left"/>
      <w:pPr>
        <w:tabs>
          <w:tab w:val="num" w:pos="2880"/>
        </w:tabs>
        <w:ind w:left="2880" w:hanging="360"/>
      </w:pPr>
      <w:rPr>
        <w:rFonts w:ascii="Arial" w:hAnsi="Arial" w:hint="default"/>
      </w:rPr>
    </w:lvl>
    <w:lvl w:ilvl="4" w:tplc="70ACD212" w:tentative="1">
      <w:start w:val="1"/>
      <w:numFmt w:val="bullet"/>
      <w:lvlText w:val="•"/>
      <w:lvlJc w:val="left"/>
      <w:pPr>
        <w:tabs>
          <w:tab w:val="num" w:pos="3600"/>
        </w:tabs>
        <w:ind w:left="3600" w:hanging="360"/>
      </w:pPr>
      <w:rPr>
        <w:rFonts w:ascii="Arial" w:hAnsi="Arial" w:hint="default"/>
      </w:rPr>
    </w:lvl>
    <w:lvl w:ilvl="5" w:tplc="843EE3FA" w:tentative="1">
      <w:start w:val="1"/>
      <w:numFmt w:val="bullet"/>
      <w:lvlText w:val="•"/>
      <w:lvlJc w:val="left"/>
      <w:pPr>
        <w:tabs>
          <w:tab w:val="num" w:pos="4320"/>
        </w:tabs>
        <w:ind w:left="4320" w:hanging="360"/>
      </w:pPr>
      <w:rPr>
        <w:rFonts w:ascii="Arial" w:hAnsi="Arial" w:hint="default"/>
      </w:rPr>
    </w:lvl>
    <w:lvl w:ilvl="6" w:tplc="A73E68CC" w:tentative="1">
      <w:start w:val="1"/>
      <w:numFmt w:val="bullet"/>
      <w:lvlText w:val="•"/>
      <w:lvlJc w:val="left"/>
      <w:pPr>
        <w:tabs>
          <w:tab w:val="num" w:pos="5040"/>
        </w:tabs>
        <w:ind w:left="5040" w:hanging="360"/>
      </w:pPr>
      <w:rPr>
        <w:rFonts w:ascii="Arial" w:hAnsi="Arial" w:hint="default"/>
      </w:rPr>
    </w:lvl>
    <w:lvl w:ilvl="7" w:tplc="F844DD10" w:tentative="1">
      <w:start w:val="1"/>
      <w:numFmt w:val="bullet"/>
      <w:lvlText w:val="•"/>
      <w:lvlJc w:val="left"/>
      <w:pPr>
        <w:tabs>
          <w:tab w:val="num" w:pos="5760"/>
        </w:tabs>
        <w:ind w:left="5760" w:hanging="360"/>
      </w:pPr>
      <w:rPr>
        <w:rFonts w:ascii="Arial" w:hAnsi="Arial" w:hint="default"/>
      </w:rPr>
    </w:lvl>
    <w:lvl w:ilvl="8" w:tplc="3836E7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CC4686"/>
    <w:multiLevelType w:val="hybridMultilevel"/>
    <w:tmpl w:val="6C94E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17DE0"/>
    <w:multiLevelType w:val="multilevel"/>
    <w:tmpl w:val="DD8CCC8C"/>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5A20A10"/>
    <w:multiLevelType w:val="multilevel"/>
    <w:tmpl w:val="E7E2505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E3B70C2"/>
    <w:multiLevelType w:val="multilevel"/>
    <w:tmpl w:val="22B04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D0F35"/>
    <w:multiLevelType w:val="hybridMultilevel"/>
    <w:tmpl w:val="1F323C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9B823A3"/>
    <w:multiLevelType w:val="hybridMultilevel"/>
    <w:tmpl w:val="C108D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312F51"/>
    <w:multiLevelType w:val="hybridMultilevel"/>
    <w:tmpl w:val="EC5A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0D3779"/>
    <w:multiLevelType w:val="hybridMultilevel"/>
    <w:tmpl w:val="0A0CC6B4"/>
    <w:lvl w:ilvl="0" w:tplc="5A724F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2820E7"/>
    <w:multiLevelType w:val="hybridMultilevel"/>
    <w:tmpl w:val="FB7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02CB1"/>
    <w:multiLevelType w:val="hybridMultilevel"/>
    <w:tmpl w:val="6AD4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4116D"/>
    <w:multiLevelType w:val="multilevel"/>
    <w:tmpl w:val="163C787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D1E2A4F"/>
    <w:multiLevelType w:val="hybridMultilevel"/>
    <w:tmpl w:val="B95C7F48"/>
    <w:lvl w:ilvl="0" w:tplc="A520633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2C05BE"/>
    <w:multiLevelType w:val="hybridMultilevel"/>
    <w:tmpl w:val="220CB1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4D4574"/>
    <w:multiLevelType w:val="hybridMultilevel"/>
    <w:tmpl w:val="6EC0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0"/>
  </w:num>
  <w:num w:numId="4">
    <w:abstractNumId w:val="0"/>
  </w:num>
  <w:num w:numId="5">
    <w:abstractNumId w:val="7"/>
  </w:num>
  <w:num w:numId="6">
    <w:abstractNumId w:val="15"/>
  </w:num>
  <w:num w:numId="7">
    <w:abstractNumId w:val="3"/>
  </w:num>
  <w:num w:numId="8">
    <w:abstractNumId w:val="14"/>
  </w:num>
  <w:num w:numId="9">
    <w:abstractNumId w:val="9"/>
  </w:num>
  <w:num w:numId="10">
    <w:abstractNumId w:val="16"/>
  </w:num>
  <w:num w:numId="11">
    <w:abstractNumId w:val="12"/>
  </w:num>
  <w:num w:numId="12">
    <w:abstractNumId w:val="1"/>
  </w:num>
  <w:num w:numId="13">
    <w:abstractNumId w:val="11"/>
  </w:num>
  <w:num w:numId="14">
    <w:abstractNumId w:val="8"/>
  </w:num>
  <w:num w:numId="15">
    <w:abstractNumId w:val="5"/>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48"/>
    <w:rsid w:val="000304BD"/>
    <w:rsid w:val="00064890"/>
    <w:rsid w:val="000667B8"/>
    <w:rsid w:val="000B235A"/>
    <w:rsid w:val="000B4B20"/>
    <w:rsid w:val="000B657B"/>
    <w:rsid w:val="00141A36"/>
    <w:rsid w:val="001522E8"/>
    <w:rsid w:val="001625DF"/>
    <w:rsid w:val="001A32E8"/>
    <w:rsid w:val="001B6CCB"/>
    <w:rsid w:val="001E35EF"/>
    <w:rsid w:val="001E6D75"/>
    <w:rsid w:val="001E7E24"/>
    <w:rsid w:val="001F7577"/>
    <w:rsid w:val="00246F33"/>
    <w:rsid w:val="00262AE3"/>
    <w:rsid w:val="00263A2C"/>
    <w:rsid w:val="002703C1"/>
    <w:rsid w:val="002810EC"/>
    <w:rsid w:val="00290E90"/>
    <w:rsid w:val="00293EFF"/>
    <w:rsid w:val="0029618E"/>
    <w:rsid w:val="002B7B1B"/>
    <w:rsid w:val="002C61E2"/>
    <w:rsid w:val="002F07AD"/>
    <w:rsid w:val="002F3143"/>
    <w:rsid w:val="00302EAE"/>
    <w:rsid w:val="0030328E"/>
    <w:rsid w:val="00312BE9"/>
    <w:rsid w:val="00317CDA"/>
    <w:rsid w:val="00351AA9"/>
    <w:rsid w:val="003674EB"/>
    <w:rsid w:val="00370E85"/>
    <w:rsid w:val="00383271"/>
    <w:rsid w:val="00397122"/>
    <w:rsid w:val="003C26C1"/>
    <w:rsid w:val="003D46F5"/>
    <w:rsid w:val="003E54B9"/>
    <w:rsid w:val="003E57D0"/>
    <w:rsid w:val="003F2912"/>
    <w:rsid w:val="00421C57"/>
    <w:rsid w:val="0043756D"/>
    <w:rsid w:val="004733CE"/>
    <w:rsid w:val="00473D9C"/>
    <w:rsid w:val="00484521"/>
    <w:rsid w:val="0049452F"/>
    <w:rsid w:val="00514D48"/>
    <w:rsid w:val="0051752B"/>
    <w:rsid w:val="00523219"/>
    <w:rsid w:val="00550708"/>
    <w:rsid w:val="00553C8C"/>
    <w:rsid w:val="005637D3"/>
    <w:rsid w:val="00574914"/>
    <w:rsid w:val="005A2016"/>
    <w:rsid w:val="005A58AE"/>
    <w:rsid w:val="005C6DBA"/>
    <w:rsid w:val="005D6966"/>
    <w:rsid w:val="005F52EC"/>
    <w:rsid w:val="006017BE"/>
    <w:rsid w:val="00616953"/>
    <w:rsid w:val="0065529A"/>
    <w:rsid w:val="00657EA0"/>
    <w:rsid w:val="00681F63"/>
    <w:rsid w:val="00685412"/>
    <w:rsid w:val="006B2266"/>
    <w:rsid w:val="006C2C76"/>
    <w:rsid w:val="00705B18"/>
    <w:rsid w:val="007205D3"/>
    <w:rsid w:val="0072624B"/>
    <w:rsid w:val="007271E7"/>
    <w:rsid w:val="007A5DA4"/>
    <w:rsid w:val="007B421F"/>
    <w:rsid w:val="007D003C"/>
    <w:rsid w:val="007E2F99"/>
    <w:rsid w:val="0080101E"/>
    <w:rsid w:val="008063A3"/>
    <w:rsid w:val="00816FCE"/>
    <w:rsid w:val="0082480F"/>
    <w:rsid w:val="00825EFC"/>
    <w:rsid w:val="00837C9F"/>
    <w:rsid w:val="0084299B"/>
    <w:rsid w:val="0084541D"/>
    <w:rsid w:val="00874595"/>
    <w:rsid w:val="008940C5"/>
    <w:rsid w:val="008A49DA"/>
    <w:rsid w:val="008B0BBD"/>
    <w:rsid w:val="008C0411"/>
    <w:rsid w:val="008E4280"/>
    <w:rsid w:val="0091527D"/>
    <w:rsid w:val="00931908"/>
    <w:rsid w:val="009538B7"/>
    <w:rsid w:val="009619D8"/>
    <w:rsid w:val="00962661"/>
    <w:rsid w:val="00965EF3"/>
    <w:rsid w:val="00973A67"/>
    <w:rsid w:val="009A2181"/>
    <w:rsid w:val="009B2543"/>
    <w:rsid w:val="009B3414"/>
    <w:rsid w:val="009E4CAD"/>
    <w:rsid w:val="009E5961"/>
    <w:rsid w:val="009F03A5"/>
    <w:rsid w:val="00A55926"/>
    <w:rsid w:val="00A6492A"/>
    <w:rsid w:val="00A751F0"/>
    <w:rsid w:val="00AA3852"/>
    <w:rsid w:val="00AA7666"/>
    <w:rsid w:val="00AB0771"/>
    <w:rsid w:val="00AF1D61"/>
    <w:rsid w:val="00AF5D4A"/>
    <w:rsid w:val="00B047E2"/>
    <w:rsid w:val="00B447C9"/>
    <w:rsid w:val="00BA4A98"/>
    <w:rsid w:val="00BB075D"/>
    <w:rsid w:val="00BC26F5"/>
    <w:rsid w:val="00BC3847"/>
    <w:rsid w:val="00BE17AA"/>
    <w:rsid w:val="00BE1D4A"/>
    <w:rsid w:val="00BE48E1"/>
    <w:rsid w:val="00BF1097"/>
    <w:rsid w:val="00BF1BAD"/>
    <w:rsid w:val="00BF67B2"/>
    <w:rsid w:val="00C35105"/>
    <w:rsid w:val="00C62B3F"/>
    <w:rsid w:val="00CD2884"/>
    <w:rsid w:val="00CD3899"/>
    <w:rsid w:val="00CF1D45"/>
    <w:rsid w:val="00D21E59"/>
    <w:rsid w:val="00D234F7"/>
    <w:rsid w:val="00D4705A"/>
    <w:rsid w:val="00D60D4B"/>
    <w:rsid w:val="00D63C46"/>
    <w:rsid w:val="00D821AE"/>
    <w:rsid w:val="00DD1CEF"/>
    <w:rsid w:val="00DD3C2D"/>
    <w:rsid w:val="00DD495D"/>
    <w:rsid w:val="00DF496C"/>
    <w:rsid w:val="00E047CB"/>
    <w:rsid w:val="00E24F8D"/>
    <w:rsid w:val="00E2614C"/>
    <w:rsid w:val="00E333E0"/>
    <w:rsid w:val="00E346E5"/>
    <w:rsid w:val="00E473F7"/>
    <w:rsid w:val="00E52B2B"/>
    <w:rsid w:val="00E74D24"/>
    <w:rsid w:val="00E91CA6"/>
    <w:rsid w:val="00F1458A"/>
    <w:rsid w:val="00F73556"/>
    <w:rsid w:val="00F831E1"/>
    <w:rsid w:val="00F878C0"/>
    <w:rsid w:val="00FF1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3025A"/>
  <w15:chartTrackingRefBased/>
  <w15:docId w15:val="{E7D024DA-4A84-4031-86D7-34F47AAE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48"/>
    <w:rPr>
      <w:rFonts w:ascii="Segoe UI" w:hAnsi="Segoe UI" w:cs="Segoe UI"/>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CD3899"/>
    <w:pPr>
      <w:ind w:left="720"/>
      <w:contextualSpacing/>
    </w:pPr>
    <w:rPr>
      <w:rFonts w:ascii="Times New Roman" w:eastAsia="Times New Roman" w:hAnsi="Times New Roman" w:cs="Times New Roman"/>
      <w:sz w:val="24"/>
      <w:szCs w:val="24"/>
      <w:lang w:eastAsia="en-GB"/>
    </w:rPr>
  </w:style>
  <w:style w:type="paragraph" w:customStyle="1" w:styleId="legclearfix">
    <w:name w:val="legclearfix"/>
    <w:basedOn w:val="Normal"/>
    <w:rsid w:val="0038327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egds">
    <w:name w:val="legds"/>
    <w:basedOn w:val="DefaultParagraphFont"/>
    <w:rsid w:val="00383271"/>
  </w:style>
  <w:style w:type="character" w:customStyle="1" w:styleId="legterm">
    <w:name w:val="legterm"/>
    <w:basedOn w:val="DefaultParagraphFont"/>
    <w:rsid w:val="00383271"/>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962661"/>
    <w:rPr>
      <w:rFonts w:ascii="Times New Roman" w:eastAsia="Times New Roman" w:hAnsi="Times New Roman" w:cs="Times New Roman"/>
      <w:sz w:val="24"/>
      <w:szCs w:val="24"/>
      <w:lang w:eastAsia="en-GB"/>
    </w:rPr>
  </w:style>
  <w:style w:type="paragraph" w:customStyle="1" w:styleId="ms-rtefontface-5">
    <w:name w:val="ms-rtefontface-5"/>
    <w:basedOn w:val="Normal"/>
    <w:rsid w:val="00962661"/>
    <w:pPr>
      <w:spacing w:before="100" w:beforeAutospacing="1" w:after="100" w:afterAutospacing="1"/>
    </w:pPr>
    <w:rPr>
      <w:rFonts w:ascii="Calibri" w:eastAsia="Times New Roman" w:hAnsi="Calibri" w:cs="Times New Roman"/>
      <w:sz w:val="24"/>
      <w:szCs w:val="24"/>
      <w:lang w:eastAsia="en-GB"/>
    </w:rPr>
  </w:style>
  <w:style w:type="character" w:styleId="Hyperlink">
    <w:name w:val="Hyperlink"/>
    <w:basedOn w:val="DefaultParagraphFont"/>
    <w:uiPriority w:val="99"/>
    <w:unhideWhenUsed/>
    <w:rsid w:val="005D6966"/>
    <w:rPr>
      <w:color w:val="0000FF"/>
      <w:u w:val="single"/>
    </w:rPr>
  </w:style>
  <w:style w:type="character" w:styleId="CommentReference">
    <w:name w:val="annotation reference"/>
    <w:basedOn w:val="DefaultParagraphFont"/>
    <w:uiPriority w:val="99"/>
    <w:semiHidden/>
    <w:unhideWhenUsed/>
    <w:rsid w:val="005D6966"/>
    <w:rPr>
      <w:sz w:val="16"/>
      <w:szCs w:val="16"/>
    </w:rPr>
  </w:style>
  <w:style w:type="paragraph" w:styleId="CommentText">
    <w:name w:val="annotation text"/>
    <w:basedOn w:val="Normal"/>
    <w:link w:val="CommentTextChar"/>
    <w:uiPriority w:val="99"/>
    <w:semiHidden/>
    <w:unhideWhenUsed/>
    <w:rsid w:val="005D6966"/>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5D696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A7666"/>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A7666"/>
    <w:rPr>
      <w:rFonts w:ascii="Times New Roman" w:eastAsia="Times New Roman" w:hAnsi="Times New Roman" w:cs="Times New Roman"/>
      <w:b/>
      <w:bCs/>
      <w:sz w:val="20"/>
      <w:szCs w:val="20"/>
      <w:lang w:eastAsia="en-GB"/>
    </w:rPr>
  </w:style>
  <w:style w:type="paragraph" w:styleId="Revision">
    <w:name w:val="Revision"/>
    <w:hidden/>
    <w:uiPriority w:val="99"/>
    <w:semiHidden/>
    <w:rsid w:val="00AA7666"/>
  </w:style>
  <w:style w:type="character" w:styleId="UnresolvedMention">
    <w:name w:val="Unresolved Mention"/>
    <w:basedOn w:val="DefaultParagraphFont"/>
    <w:uiPriority w:val="99"/>
    <w:semiHidden/>
    <w:unhideWhenUsed/>
    <w:rsid w:val="00705B18"/>
    <w:rPr>
      <w:color w:val="605E5C"/>
      <w:shd w:val="clear" w:color="auto" w:fill="E1DFDD"/>
    </w:rPr>
  </w:style>
  <w:style w:type="paragraph" w:styleId="Header">
    <w:name w:val="header"/>
    <w:basedOn w:val="Normal"/>
    <w:link w:val="HeaderChar"/>
    <w:uiPriority w:val="99"/>
    <w:unhideWhenUsed/>
    <w:rsid w:val="007D003C"/>
    <w:pPr>
      <w:tabs>
        <w:tab w:val="center" w:pos="4513"/>
        <w:tab w:val="right" w:pos="9026"/>
      </w:tabs>
    </w:pPr>
  </w:style>
  <w:style w:type="character" w:customStyle="1" w:styleId="HeaderChar">
    <w:name w:val="Header Char"/>
    <w:basedOn w:val="DefaultParagraphFont"/>
    <w:link w:val="Header"/>
    <w:uiPriority w:val="99"/>
    <w:rsid w:val="007D003C"/>
  </w:style>
  <w:style w:type="paragraph" w:styleId="Footer">
    <w:name w:val="footer"/>
    <w:basedOn w:val="Normal"/>
    <w:link w:val="FooterChar"/>
    <w:uiPriority w:val="99"/>
    <w:unhideWhenUsed/>
    <w:rsid w:val="007D003C"/>
    <w:pPr>
      <w:tabs>
        <w:tab w:val="center" w:pos="4513"/>
        <w:tab w:val="right" w:pos="9026"/>
      </w:tabs>
    </w:pPr>
  </w:style>
  <w:style w:type="character" w:customStyle="1" w:styleId="FooterChar">
    <w:name w:val="Footer Char"/>
    <w:basedOn w:val="DefaultParagraphFont"/>
    <w:link w:val="Footer"/>
    <w:uiPriority w:val="99"/>
    <w:rsid w:val="007D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3066">
      <w:bodyDiv w:val="1"/>
      <w:marLeft w:val="0"/>
      <w:marRight w:val="0"/>
      <w:marTop w:val="0"/>
      <w:marBottom w:val="0"/>
      <w:divBdr>
        <w:top w:val="none" w:sz="0" w:space="0" w:color="auto"/>
        <w:left w:val="none" w:sz="0" w:space="0" w:color="auto"/>
        <w:bottom w:val="none" w:sz="0" w:space="0" w:color="auto"/>
        <w:right w:val="none" w:sz="0" w:space="0" w:color="auto"/>
      </w:divBdr>
    </w:div>
    <w:div w:id="353503791">
      <w:bodyDiv w:val="1"/>
      <w:marLeft w:val="0"/>
      <w:marRight w:val="0"/>
      <w:marTop w:val="0"/>
      <w:marBottom w:val="0"/>
      <w:divBdr>
        <w:top w:val="none" w:sz="0" w:space="0" w:color="auto"/>
        <w:left w:val="none" w:sz="0" w:space="0" w:color="auto"/>
        <w:bottom w:val="none" w:sz="0" w:space="0" w:color="auto"/>
        <w:right w:val="none" w:sz="0" w:space="0" w:color="auto"/>
      </w:divBdr>
    </w:div>
    <w:div w:id="1372420292">
      <w:bodyDiv w:val="1"/>
      <w:marLeft w:val="0"/>
      <w:marRight w:val="0"/>
      <w:marTop w:val="0"/>
      <w:marBottom w:val="0"/>
      <w:divBdr>
        <w:top w:val="none" w:sz="0" w:space="0" w:color="auto"/>
        <w:left w:val="none" w:sz="0" w:space="0" w:color="auto"/>
        <w:bottom w:val="none" w:sz="0" w:space="0" w:color="auto"/>
        <w:right w:val="none" w:sz="0" w:space="0" w:color="auto"/>
      </w:divBdr>
      <w:divsChild>
        <w:div w:id="149201736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s.gov.uk/legal-guidance/charging-directors-guidance-sixth-edition-december-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uk/ukpga/2018/12/part/3/enact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ps.gov.uk/legal-guidance/charging-directors-guidance-sixth-edition-december-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2223</Words>
  <Characters>12673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Allen</dc:creator>
  <cp:keywords/>
  <dc:description/>
  <cp:lastModifiedBy>Nicol Harlow</cp:lastModifiedBy>
  <cp:revision>2</cp:revision>
  <dcterms:created xsi:type="dcterms:W3CDTF">2021-07-14T15:50:00Z</dcterms:created>
  <dcterms:modified xsi:type="dcterms:W3CDTF">2021-07-14T15:50:00Z</dcterms:modified>
</cp:coreProperties>
</file>